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CF71F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482013" w:rsidTr="004F5E0F">
        <w:tc>
          <w:tcPr>
            <w:tcW w:w="675" w:type="dxa"/>
          </w:tcPr>
          <w:p w:rsidR="008B0943" w:rsidRPr="00482013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8B0943" w:rsidRPr="00482013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229" w:type="dxa"/>
          </w:tcPr>
          <w:p w:rsidR="008B0943" w:rsidRPr="00482013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482013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482013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8B0943" w:rsidRPr="00482013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8B0943" w:rsidRPr="00482013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Селенитовый бульон</w:t>
            </w:r>
          </w:p>
        </w:tc>
        <w:tc>
          <w:tcPr>
            <w:tcW w:w="7229" w:type="dxa"/>
          </w:tcPr>
          <w:p w:rsidR="0038497C" w:rsidRPr="00482013" w:rsidRDefault="002C5B28" w:rsidP="002C5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Готовый селенитовый бульон представляет собой жидкую прозрачную среду светло-желтого цвета.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61000</w:t>
            </w:r>
          </w:p>
        </w:tc>
        <w:tc>
          <w:tcPr>
            <w:tcW w:w="1418" w:type="dxa"/>
          </w:tcPr>
          <w:p w:rsidR="0038497C" w:rsidRPr="00482013" w:rsidRDefault="00B27E8A" w:rsidP="00583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15250,00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Сабуро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Агар</w:t>
            </w:r>
            <w:proofErr w:type="spellEnd"/>
          </w:p>
        </w:tc>
        <w:tc>
          <w:tcPr>
            <w:tcW w:w="7229" w:type="dxa"/>
          </w:tcPr>
          <w:p w:rsidR="0038497C" w:rsidRPr="00482013" w:rsidRDefault="002C5B28" w:rsidP="00963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Предназначена</w:t>
            </w:r>
            <w:proofErr w:type="gramEnd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приготовления жидких и плотных питательных сред, используемых при проведении микробиологических исследований.</w:t>
            </w:r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Среда </w:t>
            </w:r>
            <w:proofErr w:type="spell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Сабуро</w:t>
            </w:r>
            <w:proofErr w:type="spellEnd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питательная среда для культивирования дрожжевых и плесневых грибов, сухая представляет собой мелкодисперсный гомогенный, гигроскопичный, светочувствительный  порошок светло-желтого цвета.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11500,00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Среда Левина питательная среда с </w:t>
            </w:r>
            <w:proofErr w:type="spellStart"/>
            <w:proofErr w:type="gram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эозин-метиленовым</w:t>
            </w:r>
            <w:proofErr w:type="spellEnd"/>
            <w:proofErr w:type="gram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синим сухая</w:t>
            </w:r>
          </w:p>
        </w:tc>
        <w:tc>
          <w:tcPr>
            <w:tcW w:w="7229" w:type="dxa"/>
          </w:tcPr>
          <w:p w:rsidR="0038497C" w:rsidRPr="00482013" w:rsidRDefault="002C5B28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Предназначена</w:t>
            </w:r>
            <w:proofErr w:type="gram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для приготовления жидких и плотных питательных сред, используемых при проведении микробиологических исследований. Представляет собой мелкодисперсный гомогенный, гигроскопичный, светочувствительный  порошок светло-сиреневого цвета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46500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Питетельная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среда для выделения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сальманелл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сухая (Висмут-сульфит ГРМ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агар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29" w:type="dxa"/>
          </w:tcPr>
          <w:p w:rsidR="0038497C" w:rsidRPr="00482013" w:rsidRDefault="002C5B28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Предназначена</w:t>
            </w:r>
            <w:proofErr w:type="gram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для приготовления жидких и плотных питательных сред, используемых при проведении микробиологических исследований. Представляет собой мелкодисперсный гомогенный, гигроскопичный, светочувствительный  порошок светло-сиреневого цвета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67000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24000,00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Питательная среда для определения чувствительности микробов к антибиотикам (среда АГВ)</w:t>
            </w:r>
          </w:p>
        </w:tc>
        <w:tc>
          <w:tcPr>
            <w:tcW w:w="7229" w:type="dxa"/>
          </w:tcPr>
          <w:p w:rsidR="0038497C" w:rsidRPr="00482013" w:rsidRDefault="002C5B28" w:rsidP="002C5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Компонентный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состав</w:t>
            </w:r>
            <w:proofErr w:type="gram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,г</w:t>
            </w:r>
            <w:proofErr w:type="gram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рамм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/литр: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Основа питательная для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АГВ</w:t>
            </w:r>
            <w:proofErr w:type="gram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,с</w:t>
            </w:r>
            <w:proofErr w:type="gram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ухая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41,0;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Крахмал растворимый 0,5;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Динатрия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фосфат обезвоженный 3,5.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Мелкодисперсный порошок желтого цвета,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водорастворимый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светочувствительный</w:t>
            </w:r>
            <w:proofErr w:type="gram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.Ф</w:t>
            </w:r>
            <w:proofErr w:type="gram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орма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выпуска: полиэтиленовые банки по 200, 400 г или по 200 г в пакетах из трехслойной ламинированной бумаги.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206250,00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Диагностикум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эритроцитарный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менингококковый полисахаридный группы</w:t>
            </w:r>
            <w:proofErr w:type="gram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жидкий </w:t>
            </w:r>
          </w:p>
        </w:tc>
        <w:tc>
          <w:tcPr>
            <w:tcW w:w="7229" w:type="dxa"/>
          </w:tcPr>
          <w:p w:rsidR="0038497C" w:rsidRPr="00482013" w:rsidRDefault="00BE3D5C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Набор для выявления специфических антител к полисахаридным менингококковым антигенам (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серогруппа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С) в сыворотке крови человека в реакции пассивной гемагглютинации (РПГА)</w:t>
            </w:r>
          </w:p>
        </w:tc>
        <w:tc>
          <w:tcPr>
            <w:tcW w:w="862" w:type="dxa"/>
          </w:tcPr>
          <w:p w:rsidR="0038497C" w:rsidRPr="00482013" w:rsidRDefault="00BE3D5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497C" w:rsidRPr="00482013" w:rsidRDefault="00BE3D5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  <w:tc>
          <w:tcPr>
            <w:tcW w:w="1418" w:type="dxa"/>
          </w:tcPr>
          <w:p w:rsidR="0038497C" w:rsidRPr="00482013" w:rsidRDefault="00BE3D5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Желчь сухая гигроскопическая </w:t>
            </w:r>
          </w:p>
        </w:tc>
        <w:tc>
          <w:tcPr>
            <w:tcW w:w="7229" w:type="dxa"/>
          </w:tcPr>
          <w:p w:rsidR="0038497C" w:rsidRPr="00482013" w:rsidRDefault="0038497C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Желчь очищенная сухая предназначена для использования в качестве компонента бактериологических питательных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сред</w:t>
            </w:r>
            <w:proofErr w:type="gram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редставляет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собой мелкодисперсный гигроскопичный порошок желто-зеленого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цвета.ЖОГ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получают путем адсорбции примесей с помощью активного угля и последующим высушиванием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165000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Пептон сухой ферментативный</w:t>
            </w:r>
          </w:p>
        </w:tc>
        <w:tc>
          <w:tcPr>
            <w:tcW w:w="7229" w:type="dxa"/>
          </w:tcPr>
          <w:p w:rsidR="0038497C" w:rsidRPr="00482013" w:rsidRDefault="002C5B28" w:rsidP="002C5B28">
            <w:pPr>
              <w:pStyle w:val="4"/>
              <w:shd w:val="clear" w:color="auto" w:fill="F9F9F9"/>
              <w:spacing w:before="150" w:beforeAutospacing="0" w:after="150" w:afterAutospacing="0"/>
              <w:rPr>
                <w:sz w:val="20"/>
                <w:szCs w:val="20"/>
              </w:rPr>
            </w:pPr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Пептон ферментативный используется в составе различных питательных сред для культивирования различных, в том числе и требовательных к составу </w:t>
            </w:r>
            <w:proofErr w:type="spellStart"/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>микроорганизмов</w:t>
            </w:r>
            <w:proofErr w:type="gramStart"/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>ептон</w:t>
            </w:r>
            <w:proofErr w:type="spellEnd"/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является химически неопределенным термином, описывающим продукты гидролиза белков: смесь свободных аминокислот и пептидов, растворимых и после нагревания до 100°C.Такая смесь является легко доступным источником азота для микроорганизмов, которые обычно не растут на исходных </w:t>
            </w:r>
            <w:proofErr w:type="spellStart"/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>белках.Гомогенный</w:t>
            </w:r>
            <w:proofErr w:type="spellEnd"/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гигроскопический порошок, светло-желтого цвета, получаемые из рубцов и </w:t>
            </w:r>
            <w:proofErr w:type="spellStart"/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>летошки</w:t>
            </w:r>
            <w:proofErr w:type="spellEnd"/>
            <w:r w:rsidRPr="00482013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крупного рогатого скота, овец и коз, а также из желудков свиней с использованием слизистой оболочки желудков и поджелудочной железы.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52000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для контроля стерильности сухая </w:t>
            </w: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Тиогликолевая среда</w:t>
            </w:r>
          </w:p>
        </w:tc>
        <w:tc>
          <w:tcPr>
            <w:tcW w:w="7229" w:type="dxa"/>
          </w:tcPr>
          <w:p w:rsidR="0038497C" w:rsidRPr="00482013" w:rsidRDefault="0038497C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01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Предназначена для проведения испытаний на стерильность лекарственных средств и медицинских иммунобиологических препаратов.</w:t>
            </w:r>
            <w:proofErr w:type="gramEnd"/>
            <w:r w:rsidRPr="0048201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Представляет собой гомогенный, гигроскопичный, светочувствительный порошок светло-желтого цвета.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67000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16750,00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Плазма кроличья сухая цитратная 1 мл.№10</w:t>
            </w:r>
          </w:p>
        </w:tc>
        <w:tc>
          <w:tcPr>
            <w:tcW w:w="7229" w:type="dxa"/>
          </w:tcPr>
          <w:p w:rsidR="0038497C" w:rsidRPr="00482013" w:rsidRDefault="002C5B28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Плазма кроличья сухая цитратная 1 мл №10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48000,00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Натрий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серноватокислый</w:t>
            </w:r>
            <w:proofErr w:type="spellEnd"/>
          </w:p>
        </w:tc>
        <w:tc>
          <w:tcPr>
            <w:tcW w:w="7229" w:type="dxa"/>
          </w:tcPr>
          <w:p w:rsidR="0038497C" w:rsidRPr="00482013" w:rsidRDefault="002F45A0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Натрий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серноватокислый</w:t>
            </w:r>
            <w:proofErr w:type="spellEnd"/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для идентификаций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коринебактерий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тесту расщепления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цистина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сухая  (среда Пизу)</w:t>
            </w:r>
          </w:p>
        </w:tc>
        <w:tc>
          <w:tcPr>
            <w:tcW w:w="7229" w:type="dxa"/>
          </w:tcPr>
          <w:p w:rsidR="0038497C" w:rsidRPr="00482013" w:rsidRDefault="0038497C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Среда Пизу предназначена для идентификации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коринебактерий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по тесту расщепления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цистина</w:t>
            </w:r>
            <w:proofErr w:type="gram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репарат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представляет собой мелкодисперсный, гигроскопичный, светочувствительный порошок светло-желтого цвета.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56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71000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73000,00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Антитоксин диагностический дифтерийный очищенный ферментативный и специальный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сорбицией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сухой</w:t>
            </w:r>
            <w:r w:rsidR="002F45A0"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="002F45A0" w:rsidRPr="00482013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="002F45A0"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10 ампул</w:t>
            </w:r>
          </w:p>
        </w:tc>
        <w:tc>
          <w:tcPr>
            <w:tcW w:w="7229" w:type="dxa"/>
          </w:tcPr>
          <w:p w:rsidR="0038497C" w:rsidRPr="00482013" w:rsidRDefault="002F45A0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Набор реагентов Антитоксин диагностический дифтерийный очищенный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ферментолизом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и специфической сорбцией сухой,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для диагностических целей. Выявляет дифтерийный токсин у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токсигенных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штаммов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Corynebacterium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diphteriae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. Представляет собой антитела, выделенные методом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иммуносорбции-десорбции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на иммобилизованном дифтерийном анатоксине из частично ферментированной лошадиной гипериммунной противодифтерийной </w:t>
            </w:r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lastRenderedPageBreak/>
              <w:t>сыворотки</w:t>
            </w:r>
          </w:p>
        </w:tc>
        <w:tc>
          <w:tcPr>
            <w:tcW w:w="862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418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Теллурит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калия </w:t>
            </w: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р-р</w:t>
            </w:r>
            <w:proofErr w:type="spellEnd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 2% 5 мл №10</w:t>
            </w:r>
          </w:p>
        </w:tc>
        <w:tc>
          <w:tcPr>
            <w:tcW w:w="7229" w:type="dxa"/>
          </w:tcPr>
          <w:p w:rsidR="0038497C" w:rsidRPr="00482013" w:rsidRDefault="0038497C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калия используют в качестве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суплемента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при приготовлении питательных сред для выделения возбудителей дифтерии, холеры и других бактерий. Раствор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калия (К2ТеО3) оказывает бактерицидное действие на большинство видов грамположительных бактерий. Устойчивые к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теллуриту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калия бактерии образуют окрашенные в черный цвет колонии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засчет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восстановления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теллурит-аниона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теллуритредуктазой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 Приготовление питательных сред </w:t>
            </w:r>
            <w:r w:rsidRPr="0048201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выделения возбудителей дифтерии</w:t>
            </w:r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Для приготовления кровяного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теллуритового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агара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 250 мл расплавленного и охлажденного до 50</w:t>
            </w:r>
            <w:proofErr w:type="gram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°С</w:t>
            </w:r>
            <w:proofErr w:type="gram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питательного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агара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добавляют (25-35) мл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гемолизированной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крови и 5 мл 2% раствора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калия. Среду разливают в чашки Петри, хранят при температуре (4–8)°С не более (3 – 4)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суток</w:t>
            </w:r>
            <w:proofErr w:type="gram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риготовление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1% щелочной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пептоннной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воды с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теллуритом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калия </w:t>
            </w:r>
            <w:r w:rsidRPr="0048201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выделения возбудителей холеры.</w:t>
            </w:r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 Предварительно готовят рабочий раствор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калия с концентрацией 0,1%. Для этого содержимое флакона (5 мл) с 2% раствором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калия растворяют в 95 мл стерильной дистиллированной воды. Рабочий раствор хранят не более 7 суток. Для приготовления среды к 100 мл стерильной 1% щелочной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пептонной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воды добавляют 1 мл рабочего раствора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теллурита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калия. Срок хранения готовой среды – 48 ч.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6500,00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Системы индикаторный бумажные (СИБ)  для идентификации </w:t>
            </w:r>
            <w:proofErr w:type="gram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микро организмов</w:t>
            </w:r>
            <w:proofErr w:type="gram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набор №2 межродовой и видовой дифференциации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энтеробактерии</w:t>
            </w:r>
            <w:proofErr w:type="spellEnd"/>
          </w:p>
        </w:tc>
        <w:tc>
          <w:tcPr>
            <w:tcW w:w="7229" w:type="dxa"/>
          </w:tcPr>
          <w:p w:rsidR="0038497C" w:rsidRPr="00482013" w:rsidRDefault="002C5B28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Диски во флаконах</w:t>
            </w:r>
          </w:p>
        </w:tc>
        <w:tc>
          <w:tcPr>
            <w:tcW w:w="862" w:type="dxa"/>
          </w:tcPr>
          <w:p w:rsidR="0038497C" w:rsidRPr="00482013" w:rsidRDefault="002C5B2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2C5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1418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Фосфатно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солевой</w:t>
            </w:r>
            <w:proofErr w:type="gram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буферный раствор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5,5+-0,2</w:t>
            </w:r>
            <w:r w:rsidR="002F45A0"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2F45A0"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по 10 мл во флаконе, 10 флаконов в картонной пачке вместе с инструкцией по применению. </w:t>
            </w:r>
          </w:p>
        </w:tc>
        <w:tc>
          <w:tcPr>
            <w:tcW w:w="7229" w:type="dxa"/>
          </w:tcPr>
          <w:p w:rsidR="0038497C" w:rsidRPr="00482013" w:rsidRDefault="002F45A0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Представляет собой стерильный фосфатный буферный раствор, содержащий калий фосфорнокислый однозамещенный, натрий фосфорнокислый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двузамещенный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, натрия хлорид, </w:t>
            </w:r>
            <w:proofErr w:type="gram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воду</w:t>
            </w:r>
            <w:proofErr w:type="gram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очищенную в определенных пропорциях. Растворяет определенные количества субстратов в сочетании с индикатором, импрегнированных в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хроматографической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бумаге, в результате чего образуются окрашенные растворы. Используется в санитарной и клинической микробиологии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1418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Мясо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пептонный</w:t>
            </w:r>
            <w:proofErr w:type="spellEnd"/>
            <w:proofErr w:type="gram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бульон для культивирования  микроорганизмов сухой </w:t>
            </w:r>
          </w:p>
        </w:tc>
        <w:tc>
          <w:tcPr>
            <w:tcW w:w="7229" w:type="dxa"/>
          </w:tcPr>
          <w:p w:rsidR="0038497C" w:rsidRPr="00482013" w:rsidRDefault="0038497C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Мясо-пептонный</w:t>
            </w:r>
            <w:proofErr w:type="spellEnd"/>
            <w:proofErr w:type="gram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бульон предназначен для культивирования различных микроорганизмов, включая: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коринеформные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бактерии, некоторые виды стрептококков. При необходимости может быть обогащен углеводами, </w:t>
            </w:r>
            <w:proofErr w:type="spell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солями</w:t>
            </w:r>
            <w:proofErr w:type="gramStart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редставляет</w:t>
            </w:r>
            <w:proofErr w:type="spellEnd"/>
            <w:r w:rsidRPr="004820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собой прозрачную жидкость янтарного цвета.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48000,00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щигеллезная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адсорбировання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сыворотка</w:t>
            </w:r>
          </w:p>
        </w:tc>
        <w:tc>
          <w:tcPr>
            <w:tcW w:w="7229" w:type="dxa"/>
          </w:tcPr>
          <w:p w:rsidR="0038497C" w:rsidRPr="00482013" w:rsidRDefault="00CF28A8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Сыворотка диагностическая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шигеллезная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адсорбированная поливалентная к антигенам бактерий рода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Shigella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flexneri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I-VI,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sonnei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, ферментирующих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маннит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, для РА,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для диагностических целей. Представляет собой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лиофилизированную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иммунную сыворотку, полученную из крови кроликов или баранов,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гипериммунизированную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антигенами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шигелл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, инактивированных формалином или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мертиолятом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. Адсорбированные сыворотки освобождены от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гетерологичных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антител методом адсорбции</w:t>
            </w:r>
          </w:p>
        </w:tc>
        <w:tc>
          <w:tcPr>
            <w:tcW w:w="862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  <w:tc>
          <w:tcPr>
            <w:tcW w:w="1418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Диагностикумэритроцитарный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выделения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рекетции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группы сыпного тифа и антител к ним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иммунноглобулиновой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РНГА и РНАТ сухой</w:t>
            </w:r>
          </w:p>
        </w:tc>
        <w:tc>
          <w:tcPr>
            <w:tcW w:w="7229" w:type="dxa"/>
          </w:tcPr>
          <w:p w:rsidR="0038497C" w:rsidRPr="00482013" w:rsidRDefault="00482013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Диагностикум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эритроцитарный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сыпнотифозный для реакции пассивной гемагглютинации РПГА №2 в комплекте с несенсибилизированными эритроцитами человека №8 (готовые к применению по 12,5 мл во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фл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.) и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лиофилизированной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сывороткой к антигенам риккетсий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Провачека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- в ампулах для приготовления 1 мл диагностической сыворотки в каждой</w:t>
            </w:r>
          </w:p>
        </w:tc>
        <w:tc>
          <w:tcPr>
            <w:tcW w:w="862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2F4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1418" w:type="dxa"/>
          </w:tcPr>
          <w:p w:rsidR="0038497C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</w:tr>
      <w:tr w:rsidR="002F45A0" w:rsidRPr="00482013" w:rsidTr="004F5E0F">
        <w:tc>
          <w:tcPr>
            <w:tcW w:w="675" w:type="dxa"/>
          </w:tcPr>
          <w:p w:rsidR="002F45A0" w:rsidRPr="00482013" w:rsidRDefault="002F45A0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2F45A0" w:rsidRPr="00482013" w:rsidRDefault="002F45A0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эритроцитарный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листериозный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антигенный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сухой</w:t>
            </w:r>
          </w:p>
        </w:tc>
        <w:tc>
          <w:tcPr>
            <w:tcW w:w="7229" w:type="dxa"/>
          </w:tcPr>
          <w:p w:rsidR="002F45A0" w:rsidRPr="00482013" w:rsidRDefault="004F1203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Диагностикум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эритроцитарный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кишечноиерсининозный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О3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антигенный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,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для диагностических целей (РНГА, РА макр</w:t>
            </w:r>
            <w:proofErr w:type="gram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о-</w:t>
            </w:r>
            <w:proofErr w:type="gram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и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микрометодом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). </w:t>
            </w:r>
            <w:proofErr w:type="gram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Представляет собой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лиофилизированную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взвесь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формалинизированных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эритроцитов барана, сенсибилизированных специфическим полисахаридным антигеном, выделенным из бактерий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Yersinia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enterocolitica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серологического варианта О3, являющихся основными возбудителями кишечного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иерсиниоза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у людей.</w:t>
            </w:r>
            <w:proofErr w:type="gram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В наборе 5 ампул, объемом 1 мл: 3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амп.+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2 </w:t>
            </w:r>
            <w:proofErr w:type="spellStart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амп</w:t>
            </w:r>
            <w:proofErr w:type="spellEnd"/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. растворителя</w:t>
            </w:r>
          </w:p>
        </w:tc>
        <w:tc>
          <w:tcPr>
            <w:tcW w:w="862" w:type="dxa"/>
          </w:tcPr>
          <w:p w:rsidR="002F45A0" w:rsidRPr="00482013" w:rsidRDefault="002F45A0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2F45A0" w:rsidRPr="00482013" w:rsidRDefault="002F45A0" w:rsidP="002F4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45A0" w:rsidRPr="00482013" w:rsidRDefault="002F45A0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1418" w:type="dxa"/>
          </w:tcPr>
          <w:p w:rsidR="002F45A0" w:rsidRPr="00482013" w:rsidRDefault="002F45A0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</w:tr>
      <w:tr w:rsidR="002F45A0" w:rsidRPr="00482013" w:rsidTr="004F5E0F">
        <w:tc>
          <w:tcPr>
            <w:tcW w:w="675" w:type="dxa"/>
          </w:tcPr>
          <w:p w:rsidR="002F45A0" w:rsidRPr="00482013" w:rsidRDefault="002F45A0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2F45A0" w:rsidRPr="00482013" w:rsidRDefault="002F45A0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 АВСДЕ №50 </w:t>
            </w:r>
            <w:proofErr w:type="spellStart"/>
            <w:proofErr w:type="gram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7229" w:type="dxa"/>
          </w:tcPr>
          <w:p w:rsidR="002F45A0" w:rsidRPr="00482013" w:rsidRDefault="009D79AD" w:rsidP="000B5CC9">
            <w:pPr>
              <w:pStyle w:val="a3"/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482013">
              <w:rPr>
                <w:color w:val="5B5B5B"/>
                <w:sz w:val="20"/>
                <w:szCs w:val="20"/>
                <w:shd w:val="clear" w:color="auto" w:fill="FFFFFF"/>
              </w:rPr>
              <w:t>Таблетка круглой формы, двояковыпуклая, с гладкой поверхностью, светло-серого цвета различной интенсивности, со светлыми включениями.</w:t>
            </w:r>
          </w:p>
        </w:tc>
        <w:tc>
          <w:tcPr>
            <w:tcW w:w="862" w:type="dxa"/>
          </w:tcPr>
          <w:p w:rsidR="002F45A0" w:rsidRPr="00482013" w:rsidRDefault="002F45A0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2F45A0" w:rsidRPr="00482013" w:rsidRDefault="002F45A0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45A0" w:rsidRPr="00482013" w:rsidRDefault="002F45A0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1418" w:type="dxa"/>
          </w:tcPr>
          <w:p w:rsidR="002F45A0" w:rsidRPr="00482013" w:rsidRDefault="002F45A0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</w:tr>
      <w:tr w:rsidR="002F45A0" w:rsidRPr="00482013" w:rsidTr="004F5E0F">
        <w:tc>
          <w:tcPr>
            <w:tcW w:w="675" w:type="dxa"/>
          </w:tcPr>
          <w:p w:rsidR="002F45A0" w:rsidRPr="00482013" w:rsidRDefault="002F45A0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2F45A0" w:rsidRPr="00482013" w:rsidRDefault="002F45A0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7229" w:type="dxa"/>
          </w:tcPr>
          <w:p w:rsidR="002F45A0" w:rsidRPr="00482013" w:rsidRDefault="009D79AD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5B5B5B"/>
                <w:sz w:val="20"/>
                <w:szCs w:val="20"/>
                <w:shd w:val="clear" w:color="auto" w:fill="FFFFFF"/>
              </w:rPr>
              <w:t>Таблетка круглой формы, двояковыпуклая, с гладкой поверхностью, белого цвета со светло-коричневым оттенком.</w:t>
            </w:r>
          </w:p>
        </w:tc>
        <w:tc>
          <w:tcPr>
            <w:tcW w:w="862" w:type="dxa"/>
          </w:tcPr>
          <w:p w:rsidR="002F45A0" w:rsidRPr="00482013" w:rsidRDefault="002F45A0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2F45A0" w:rsidRPr="00482013" w:rsidRDefault="002F45A0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45A0" w:rsidRPr="00482013" w:rsidRDefault="002F45A0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1418" w:type="dxa"/>
          </w:tcPr>
          <w:p w:rsidR="002F45A0" w:rsidRPr="00482013" w:rsidRDefault="002F45A0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Цитратный </w:t>
            </w: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агар</w:t>
            </w:r>
            <w:proofErr w:type="spellEnd"/>
          </w:p>
        </w:tc>
        <w:tc>
          <w:tcPr>
            <w:tcW w:w="7229" w:type="dxa"/>
          </w:tcPr>
          <w:p w:rsidR="0038497C" w:rsidRPr="00482013" w:rsidRDefault="009D79AD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353333"/>
                <w:sz w:val="20"/>
                <w:szCs w:val="20"/>
                <w:shd w:val="clear" w:color="auto" w:fill="FFFFFF"/>
              </w:rPr>
              <w:t>Гомогенный сыпучий желтый порошок.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42000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4200,00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Глюкоза</w:t>
            </w:r>
          </w:p>
        </w:tc>
        <w:tc>
          <w:tcPr>
            <w:tcW w:w="7229" w:type="dxa"/>
          </w:tcPr>
          <w:p w:rsidR="0038497C" w:rsidRPr="00482013" w:rsidRDefault="009D79AD" w:rsidP="000B5C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Бесцветное кристаллическое вещество без запаха. Обладает сладким вкусом, растворимо в воде, в </w:t>
            </w:r>
            <w:hyperlink r:id="rId6" w:tooltip="Реактив Швейцер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 xml:space="preserve">реактиве </w:t>
              </w:r>
              <w:proofErr w:type="spellStart"/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Швейцера</w:t>
              </w:r>
              <w:proofErr w:type="spellEnd"/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(аммиачном растворе </w:t>
            </w:r>
            <w:proofErr w:type="spellStart"/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гидроксида</w:t>
            </w:r>
            <w:proofErr w:type="spellEnd"/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меди [</w:t>
            </w:r>
            <w:proofErr w:type="spellStart"/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Cu</w:t>
            </w:r>
            <w:proofErr w:type="spellEnd"/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(NH</w:t>
            </w: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vertAlign w:val="subscript"/>
              </w:rPr>
              <w:t>3</w:t>
            </w: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vertAlign w:val="subscript"/>
              </w:rPr>
              <w:t>4</w:t>
            </w: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](OH)</w:t>
            </w: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), в концентрированном растворе </w:t>
            </w:r>
            <w:hyperlink r:id="rId7" w:tooltip="Хлорид цинк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хлорида цинка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и концентрированном растворе </w:t>
            </w:r>
            <w:hyperlink r:id="rId8" w:tooltip="Серная кислот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серной кислоты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3300,00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77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Диски для определения чувствительности к антибиотикам</w:t>
            </w:r>
          </w:p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Цефазолин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Цефтриаксон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Диски с антибиотиками предназначены для определения чувствительности 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497C" w:rsidRPr="00482013" w:rsidRDefault="00384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Ципрофлоксацин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497C" w:rsidRPr="00482013" w:rsidRDefault="00384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Офлоксацин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Норфлоксацин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Амоксицилин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8497C" w:rsidRPr="00482013" w:rsidRDefault="0038497C" w:rsidP="003849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Амоксиклав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Ампициллин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Гентамицин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Амикацин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Линкомицин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Нистатин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Флуконазол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Левомицетин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Фурадонин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Фурагин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7229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BE5C66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Цефуроксим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 </w:t>
            </w:r>
          </w:p>
        </w:tc>
        <w:tc>
          <w:tcPr>
            <w:tcW w:w="722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2600,00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CF1A98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Крахмал</w:t>
            </w:r>
          </w:p>
        </w:tc>
        <w:tc>
          <w:tcPr>
            <w:tcW w:w="7229" w:type="dxa"/>
          </w:tcPr>
          <w:p w:rsidR="0038497C" w:rsidRPr="00482013" w:rsidRDefault="009D79AD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Безвкусный аморфный порошок </w:t>
            </w:r>
            <w:hyperlink r:id="rId9" w:tooltip="Белый цвет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белого цвета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нерастворимый в холодной воде. Под микроскопом видны отдельные зёрна; при сжатии порошка крахмала он издаёт характерный скрип, вызванный трением частиц.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CF1A98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Калий гидроокись</w:t>
            </w:r>
          </w:p>
        </w:tc>
        <w:tc>
          <w:tcPr>
            <w:tcW w:w="7229" w:type="dxa"/>
          </w:tcPr>
          <w:p w:rsidR="0038497C" w:rsidRPr="00482013" w:rsidRDefault="009D79AD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Бесцветные, очень </w:t>
            </w:r>
            <w:hyperlink r:id="rId10" w:tooltip="Гигроскопичность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гигроскопичные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11" w:tooltip="Кристаллы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кристаллы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но </w:t>
            </w:r>
            <w:hyperlink r:id="rId12" w:tooltip="Гигроскопичность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гигроскопичность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меньше, чем у </w:t>
            </w:r>
            <w:proofErr w:type="spellStart"/>
            <w:r w:rsidR="005E13FC" w:rsidRPr="0048201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8201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"https://ru.wikipedia.org/wiki/%D0%93%D0%B8%D0%B4%D1%80%D0%BE%D0%BA%D1%81%D0%B8%D0%B4_%D0%BD%D0%B0%D1%82%D1%80%D0%B8%D1%8F" \o "Гидроксид натрия" </w:instrText>
            </w:r>
            <w:r w:rsidR="005E13FC" w:rsidRPr="0048201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82013">
              <w:rPr>
                <w:rStyle w:val="a5"/>
                <w:rFonts w:ascii="Times New Roman" w:hAnsi="Times New Roman" w:cs="Times New Roman"/>
                <w:color w:val="0B0080"/>
                <w:sz w:val="20"/>
                <w:szCs w:val="20"/>
                <w:shd w:val="clear" w:color="auto" w:fill="FFFFFF"/>
              </w:rPr>
              <w:t>гидроксида</w:t>
            </w:r>
            <w:proofErr w:type="spellEnd"/>
            <w:r w:rsidRPr="00482013">
              <w:rPr>
                <w:rStyle w:val="a5"/>
                <w:rFonts w:ascii="Times New Roman" w:hAnsi="Times New Roman" w:cs="Times New Roman"/>
                <w:color w:val="0B0080"/>
                <w:sz w:val="20"/>
                <w:szCs w:val="20"/>
                <w:shd w:val="clear" w:color="auto" w:fill="FFFFFF"/>
              </w:rPr>
              <w:t xml:space="preserve"> натрия</w:t>
            </w:r>
            <w:r w:rsidR="005E13FC" w:rsidRPr="0048201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 Водные растворы KOH имеют сильнощелочную реакцию. Получают </w:t>
            </w:r>
            <w:hyperlink r:id="rId13" w:tooltip="Электролиз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электролизом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растворов </w:t>
            </w:r>
            <w:proofErr w:type="spellStart"/>
            <w:r w:rsidR="005E13FC" w:rsidRPr="0048201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8201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"https://ru.wikipedia.org/wiki/%D0%A5%D0%BB%D0%BE%D1%80%D0%B8%D0%B4_%D0%BA%D0%B0%D0%BB%D0%B8%D1%8F" \o "Хлорид калия" </w:instrText>
            </w:r>
            <w:r w:rsidR="005E13FC" w:rsidRPr="0048201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82013">
              <w:rPr>
                <w:rStyle w:val="a5"/>
                <w:rFonts w:ascii="Times New Roman" w:hAnsi="Times New Roman" w:cs="Times New Roman"/>
                <w:color w:val="0B0080"/>
                <w:sz w:val="20"/>
                <w:szCs w:val="20"/>
                <w:shd w:val="clear" w:color="auto" w:fill="FFFFFF"/>
              </w:rPr>
              <w:t>KCl</w:t>
            </w:r>
            <w:proofErr w:type="spellEnd"/>
            <w:r w:rsidR="005E13FC" w:rsidRPr="0048201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применяют в производстве жидких </w:t>
            </w:r>
            <w:hyperlink r:id="rId14" w:tooltip="Мыло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мыл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для получения различных соединений </w:t>
            </w:r>
            <w:hyperlink r:id="rId15" w:tooltip="Калий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калия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CF1A98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Натрий гидроокись</w:t>
            </w:r>
          </w:p>
        </w:tc>
        <w:tc>
          <w:tcPr>
            <w:tcW w:w="7229" w:type="dxa"/>
          </w:tcPr>
          <w:p w:rsidR="0038497C" w:rsidRPr="00482013" w:rsidRDefault="009D79AD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Гидроксид</w:t>
            </w:r>
            <w:proofErr w:type="spellEnd"/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натрия — белое твёрдое вещество. Сильно </w:t>
            </w:r>
            <w:hyperlink r:id="rId16" w:tooltip="Гигроскопичность" w:history="1">
              <w:proofErr w:type="gramStart"/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гигроскопичен</w:t>
              </w:r>
              <w:proofErr w:type="gramEnd"/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на воздухе «расплывается», активно поглощая пары воды из воздуха. Хорошо растворяется в воде, при этом выделяется большое количество теплоты. Раствор едкого натра мылок на ощупь.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CF1A98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Натрий фосфорнокислый </w:t>
            </w:r>
          </w:p>
        </w:tc>
        <w:tc>
          <w:tcPr>
            <w:tcW w:w="7229" w:type="dxa"/>
          </w:tcPr>
          <w:p w:rsidR="0038497C" w:rsidRPr="00482013" w:rsidRDefault="009D79AD" w:rsidP="009D79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белая гигроскопичная средняя соль, устойчивая термически и плавящаяся без разложения (при температуре от 250 градусов и выше). В воде растворяется, создавая сильнощелочную среду. </w:t>
            </w: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6500</w:t>
            </w:r>
          </w:p>
        </w:tc>
        <w:tc>
          <w:tcPr>
            <w:tcW w:w="1418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CF1A98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Кристаллический фиолетовый </w:t>
            </w:r>
          </w:p>
        </w:tc>
        <w:tc>
          <w:tcPr>
            <w:tcW w:w="7229" w:type="dxa"/>
          </w:tcPr>
          <w:p w:rsidR="0038497C" w:rsidRPr="00482013" w:rsidRDefault="009D79AD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Темно-зеленые кристаллы с металлическим блеском.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CF1A98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Метиленовый синий</w:t>
            </w:r>
          </w:p>
        </w:tc>
        <w:tc>
          <w:tcPr>
            <w:tcW w:w="7229" w:type="dxa"/>
          </w:tcPr>
          <w:p w:rsidR="0038497C" w:rsidRPr="00482013" w:rsidRDefault="009D79AD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краситель. Представляет собой тёмно-зеленые кристаллы с бронзовым блеском.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CF1A98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Калий фосфорнокислый</w:t>
            </w:r>
          </w:p>
        </w:tc>
        <w:tc>
          <w:tcPr>
            <w:tcW w:w="7229" w:type="dxa"/>
          </w:tcPr>
          <w:p w:rsidR="0038497C" w:rsidRPr="00482013" w:rsidRDefault="009D79AD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17" w:tooltip="Калий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калиевая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18" w:tooltip="Соли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соль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19" w:tooltip="Ортофосфорная кислот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ортофосфорной кислоты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; порошок белого цвета с плотностью 2,34 г/см³.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CF1A98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Глицерин</w:t>
            </w:r>
          </w:p>
        </w:tc>
        <w:tc>
          <w:tcPr>
            <w:tcW w:w="7229" w:type="dxa"/>
          </w:tcPr>
          <w:p w:rsidR="0038497C" w:rsidRPr="00482013" w:rsidRDefault="009D79AD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бесцветная, вязкая, очень </w:t>
            </w:r>
            <w:hyperlink r:id="rId20" w:tooltip="Гигроскопичность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гигроскопичная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жидкость, смешивается с водой в любых пропорциях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</w:p>
        </w:tc>
        <w:tc>
          <w:tcPr>
            <w:tcW w:w="839" w:type="dxa"/>
          </w:tcPr>
          <w:p w:rsidR="0038497C" w:rsidRPr="00482013" w:rsidRDefault="001E64C9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497C" w:rsidRPr="00482013" w:rsidRDefault="001E64C9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B27E8A"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hanging="54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Бромтимоловой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синий </w:t>
            </w:r>
          </w:p>
        </w:tc>
        <w:tc>
          <w:tcPr>
            <w:tcW w:w="7229" w:type="dxa"/>
          </w:tcPr>
          <w:p w:rsidR="0038497C" w:rsidRPr="00482013" w:rsidRDefault="002E15B6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Бромтимоловый</w:t>
            </w:r>
            <w:proofErr w:type="spellEnd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синий – индикатор кислотности среды, который позволяет фиксировать изменения </w:t>
            </w:r>
            <w:proofErr w:type="spell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pH</w:t>
            </w:r>
            <w:proofErr w:type="spellEnd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диапазоне 6-7,6. Другие названия этого соединения – </w:t>
            </w:r>
            <w:proofErr w:type="spell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бромтимолблау</w:t>
            </w:r>
            <w:proofErr w:type="spellEnd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бромтимолсульфон</w:t>
            </w:r>
            <w:proofErr w:type="spellEnd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фталеин</w:t>
            </w:r>
            <w:proofErr w:type="spellEnd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дибромтимолсульфофталеин</w:t>
            </w:r>
            <w:proofErr w:type="spellEnd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аммонийная соль. По степени химической чистоты он выпускается одной квалификации – ЧДА (чистый для анализов). Химическая формула соединения: </w:t>
            </w:r>
            <w:proofErr w:type="spellStart"/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</w:t>
            </w:r>
            <w:r w:rsidRPr="00482013">
              <w:rPr>
                <w:rFonts w:ascii="Cambria Math" w:hAnsi="Cambria Math" w:cs="Times New Roman"/>
                <w:color w:val="000000"/>
                <w:sz w:val="20"/>
                <w:szCs w:val="20"/>
                <w:shd w:val="clear" w:color="auto" w:fill="FFFFFF"/>
              </w:rPr>
              <w:t>₂₇</w:t>
            </w:r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</w:t>
            </w:r>
            <w:r w:rsidRPr="00482013">
              <w:rPr>
                <w:rFonts w:ascii="Cambria Math" w:hAnsi="Cambria Math" w:cs="Times New Roman"/>
                <w:color w:val="000000"/>
                <w:sz w:val="20"/>
                <w:szCs w:val="20"/>
                <w:shd w:val="clear" w:color="auto" w:fill="FFFFFF"/>
              </w:rPr>
              <w:t>₂₈</w:t>
            </w:r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</w:t>
            </w:r>
            <w:r w:rsidRPr="00482013">
              <w:rPr>
                <w:rFonts w:ascii="Cambria Math" w:hAnsi="Cambria Math" w:cs="Times New Roman"/>
                <w:color w:val="000000"/>
                <w:sz w:val="20"/>
                <w:szCs w:val="20"/>
                <w:shd w:val="clear" w:color="auto" w:fill="FFFFFF"/>
              </w:rPr>
              <w:t>₂</w:t>
            </w:r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O</w:t>
            </w:r>
            <w:r w:rsidRPr="00482013">
              <w:rPr>
                <w:rFonts w:ascii="Times New Roman" w:hAnsi="Cambria Math" w:cs="Times New Roman"/>
                <w:color w:val="000000"/>
                <w:sz w:val="20"/>
                <w:szCs w:val="20"/>
                <w:shd w:val="clear" w:color="auto" w:fill="FFFFFF"/>
              </w:rPr>
              <w:t>₅</w:t>
            </w:r>
            <w:r w:rsidRPr="004820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820000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hanging="54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Иод</w:t>
            </w:r>
            <w:proofErr w:type="spellEnd"/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кристаллический </w:t>
            </w:r>
          </w:p>
        </w:tc>
        <w:tc>
          <w:tcPr>
            <w:tcW w:w="7229" w:type="dxa"/>
          </w:tcPr>
          <w:p w:rsidR="002E15B6" w:rsidRPr="00482013" w:rsidRDefault="002E15B6" w:rsidP="002E15B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черно-серые кристаллы с фиолетовым металлическим блеском</w:t>
            </w:r>
          </w:p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hanging="54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Аммиак</w:t>
            </w:r>
          </w:p>
        </w:tc>
        <w:tc>
          <w:tcPr>
            <w:tcW w:w="7229" w:type="dxa"/>
          </w:tcPr>
          <w:p w:rsidR="0038497C" w:rsidRPr="00482013" w:rsidRDefault="002E15B6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4E4E4E"/>
                <w:sz w:val="20"/>
                <w:szCs w:val="20"/>
                <w:shd w:val="clear" w:color="auto" w:fill="F7F7F7"/>
              </w:rPr>
              <w:t>Применяют 10% водный раствор (нашатырный спирт), представляющий собой бесцветную летучую жидкость с острым характерным запахом и сильной щелочной реакцией.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лошадиная нормальная для культивирования микроорганизмов жидкая</w:t>
            </w:r>
          </w:p>
        </w:tc>
        <w:tc>
          <w:tcPr>
            <w:tcW w:w="7229" w:type="dxa"/>
          </w:tcPr>
          <w:p w:rsidR="0038497C" w:rsidRPr="00482013" w:rsidRDefault="002E15B6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5B5B5B"/>
                <w:sz w:val="20"/>
                <w:szCs w:val="20"/>
                <w:shd w:val="clear" w:color="auto" w:fill="FFFFFF"/>
              </w:rPr>
              <w:t xml:space="preserve">Жидкость жёлтого цвета, прозрачная или </w:t>
            </w:r>
            <w:proofErr w:type="spellStart"/>
            <w:r w:rsidRPr="00482013">
              <w:rPr>
                <w:rFonts w:ascii="Times New Roman" w:hAnsi="Times New Roman" w:cs="Times New Roman"/>
                <w:color w:val="5B5B5B"/>
                <w:sz w:val="20"/>
                <w:szCs w:val="20"/>
                <w:shd w:val="clear" w:color="auto" w:fill="FFFFFF"/>
              </w:rPr>
              <w:t>слегкаопалесцирующая</w:t>
            </w:r>
            <w:proofErr w:type="spellEnd"/>
            <w:r w:rsidRPr="00482013">
              <w:rPr>
                <w:rFonts w:ascii="Times New Roman" w:hAnsi="Times New Roman" w:cs="Times New Roman"/>
                <w:color w:val="5B5B5B"/>
                <w:sz w:val="20"/>
                <w:szCs w:val="20"/>
                <w:shd w:val="clear" w:color="auto" w:fill="FFFFFF"/>
              </w:rPr>
              <w:t xml:space="preserve">, стерильная. Допускается наличие осадка, который разбивается </w:t>
            </w:r>
            <w:proofErr w:type="spellStart"/>
            <w:r w:rsidRPr="00482013">
              <w:rPr>
                <w:rFonts w:ascii="Times New Roman" w:hAnsi="Times New Roman" w:cs="Times New Roman"/>
                <w:color w:val="5B5B5B"/>
                <w:sz w:val="20"/>
                <w:szCs w:val="20"/>
                <w:shd w:val="clear" w:color="auto" w:fill="FFFFFF"/>
              </w:rPr>
              <w:t>привстряхивании</w:t>
            </w:r>
            <w:proofErr w:type="spellEnd"/>
            <w:r w:rsidRPr="00482013">
              <w:rPr>
                <w:rFonts w:ascii="Times New Roman" w:hAnsi="Times New Roman" w:cs="Times New Roman"/>
                <w:color w:val="5B5B5B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Мочевина </w:t>
            </w:r>
          </w:p>
        </w:tc>
        <w:tc>
          <w:tcPr>
            <w:tcW w:w="7229" w:type="dxa"/>
          </w:tcPr>
          <w:p w:rsidR="0038497C" w:rsidRPr="00482013" w:rsidRDefault="002E15B6" w:rsidP="002E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4B4B4B"/>
                <w:sz w:val="20"/>
                <w:szCs w:val="20"/>
                <w:shd w:val="clear" w:color="auto" w:fill="FFFFFF"/>
              </w:rPr>
              <w:t>Мочевиной называют амид угольной кислоты. Она выглядит как россыпь бесцветных кристаллов без запаха. Иногда, технический продукт представлен в желтом или белесом цвете. Формула Мочевины (Карбамида) содержит 46% азотной кислоты. Она отлично растворяется в воде. Если температура повышается, то и процесс гидратации усиливается. При нагревании свыше 80 градусов Цельсия соединение превращается в </w:t>
            </w:r>
            <w:proofErr w:type="spellStart"/>
            <w:r w:rsidRPr="00482013">
              <w:rPr>
                <w:rFonts w:ascii="Times New Roman" w:hAnsi="Times New Roman" w:cs="Times New Roman"/>
                <w:color w:val="4B4B4B"/>
                <w:sz w:val="20"/>
                <w:szCs w:val="20"/>
                <w:shd w:val="clear" w:color="auto" w:fill="FFFFFF"/>
              </w:rPr>
              <w:t>карбамат</w:t>
            </w:r>
            <w:proofErr w:type="spellEnd"/>
            <w:r w:rsidRPr="00482013">
              <w:rPr>
                <w:rFonts w:ascii="Times New Roman" w:hAnsi="Times New Roman" w:cs="Times New Roman"/>
                <w:color w:val="4B4B4B"/>
                <w:sz w:val="20"/>
                <w:szCs w:val="20"/>
                <w:shd w:val="clear" w:color="auto" w:fill="FFFFFF"/>
              </w:rPr>
              <w:t xml:space="preserve"> аммония.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Лактоза</w:t>
            </w:r>
          </w:p>
        </w:tc>
        <w:tc>
          <w:tcPr>
            <w:tcW w:w="7229" w:type="dxa"/>
          </w:tcPr>
          <w:p w:rsidR="0038497C" w:rsidRPr="00482013" w:rsidRDefault="002E15B6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21" w:tooltip="Углеводы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углевод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группы </w:t>
            </w:r>
            <w:hyperlink r:id="rId22" w:tooltip="Дисахариды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дисахаридов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содержится в </w:t>
            </w:r>
            <w:hyperlink r:id="rId23" w:tooltip="Молоко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молоке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и молочных продуктах. Молекула лактозы состоит из остатков молекул </w:t>
            </w:r>
            <w:hyperlink r:id="rId24" w:tooltip="Глюкоз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глюкозы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и </w:t>
            </w:r>
            <w:hyperlink r:id="rId25" w:tooltip="Галактоз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галактозы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 Лактозу иногда называют молочным сахаром.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Сахароза</w:t>
            </w:r>
          </w:p>
        </w:tc>
        <w:tc>
          <w:tcPr>
            <w:tcW w:w="7229" w:type="dxa"/>
          </w:tcPr>
          <w:p w:rsidR="0038497C" w:rsidRPr="00482013" w:rsidRDefault="002E15B6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26" w:tooltip="Дисахарид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дисахарид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из группы </w:t>
            </w:r>
            <w:hyperlink r:id="rId27" w:tooltip="Олигосахариды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олигосахаридов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состоящий из двух </w:t>
            </w:r>
            <w:hyperlink r:id="rId28" w:tooltip="Моносахариды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моносахаридов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: α-</w:t>
            </w:r>
            <w:hyperlink r:id="rId29" w:tooltip="Глюкоз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глюкозы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и β-</w:t>
            </w:r>
            <w:hyperlink r:id="rId30" w:tooltip="Фруктоз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фруктозы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Мальтоза</w:t>
            </w:r>
          </w:p>
        </w:tc>
        <w:tc>
          <w:tcPr>
            <w:tcW w:w="7229" w:type="dxa"/>
          </w:tcPr>
          <w:p w:rsidR="0038497C" w:rsidRPr="00482013" w:rsidRDefault="002E15B6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солодовый сахар, 4-О-α-D-глюкопиранозил-D-глюкоза, природный </w:t>
            </w:r>
            <w:hyperlink r:id="rId31" w:tooltip="Дисахариды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дисахарид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состоящий из двух остатков </w:t>
            </w:r>
            <w:hyperlink r:id="rId32" w:tooltip="Глюкоза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глюкозы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; содержится в больших количествах в проросших зёрнах (солоде) ячменя, ржи и других зерновых; обнаружен также в </w:t>
            </w:r>
            <w:hyperlink r:id="rId33" w:tooltip="Томат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томатах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в пыльце и </w:t>
            </w:r>
            <w:hyperlink r:id="rId34" w:tooltip="Нектар (сахаристый сок)" w:history="1">
              <w:r w:rsidRPr="00482013">
                <w:rPr>
                  <w:rStyle w:val="a5"/>
                  <w:rFonts w:ascii="Times New Roman" w:hAnsi="Times New Roman" w:cs="Times New Roman"/>
                  <w:color w:val="0B0080"/>
                  <w:sz w:val="20"/>
                  <w:szCs w:val="20"/>
                  <w:shd w:val="clear" w:color="auto" w:fill="FFFFFF"/>
                </w:rPr>
                <w:t>нектаре</w:t>
              </w:r>
            </w:hyperlink>
            <w:r w:rsidRPr="0048201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 ряда растений.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38497C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74500</w:t>
            </w:r>
          </w:p>
        </w:tc>
        <w:tc>
          <w:tcPr>
            <w:tcW w:w="1418" w:type="dxa"/>
          </w:tcPr>
          <w:p w:rsidR="0038497C" w:rsidRPr="00482013" w:rsidRDefault="00B27E8A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7450,00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38497C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Фруктоза</w:t>
            </w:r>
          </w:p>
        </w:tc>
        <w:tc>
          <w:tcPr>
            <w:tcW w:w="7229" w:type="dxa"/>
          </w:tcPr>
          <w:p w:rsidR="0038497C" w:rsidRPr="00482013" w:rsidRDefault="002E15B6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013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7F7F7"/>
              </w:rPr>
              <w:t>Натуральный сахар, представляющий собой моносахарид, который вместе с глюкозой входит в состав сахарозы. Фруктоза находится практически во всех сладких фруктах и овощах, а также меде. Хорошо растворяется в воде. Имеет форму кристаллов без цвета, со сладким вкусом.</w:t>
            </w: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38497C" w:rsidRPr="00482013" w:rsidRDefault="002E15B6" w:rsidP="002E15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16000,00</w:t>
            </w:r>
          </w:p>
        </w:tc>
        <w:tc>
          <w:tcPr>
            <w:tcW w:w="1418" w:type="dxa"/>
          </w:tcPr>
          <w:p w:rsidR="0038497C" w:rsidRPr="00482013" w:rsidRDefault="002E15B6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1600,00</w:t>
            </w:r>
          </w:p>
        </w:tc>
      </w:tr>
      <w:tr w:rsidR="0038497C" w:rsidRPr="00482013" w:rsidTr="004F5E0F">
        <w:tc>
          <w:tcPr>
            <w:tcW w:w="675" w:type="dxa"/>
          </w:tcPr>
          <w:p w:rsidR="0038497C" w:rsidRPr="00482013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482013" w:rsidRDefault="00B27E8A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722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2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9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497C" w:rsidRPr="00482013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38497C" w:rsidRPr="00482013" w:rsidRDefault="002E15B6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820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1466350,00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081E66">
        <w:rPr>
          <w:rFonts w:ascii="Times New Roman" w:hAnsi="Times New Roman" w:cs="Times New Roman"/>
        </w:rPr>
        <w:t xml:space="preserve"> 1</w:t>
      </w:r>
      <w:r w:rsidR="00482013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482013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482013">
        <w:rPr>
          <w:rFonts w:ascii="Times New Roman" w:hAnsi="Times New Roman" w:cs="Times New Roman"/>
        </w:rPr>
        <w:t>25</w:t>
      </w:r>
      <w:r w:rsidR="002C6517">
        <w:rPr>
          <w:rFonts w:ascii="Times New Roman" w:hAnsi="Times New Roman" w:cs="Times New Roman"/>
        </w:rPr>
        <w:t>.</w:t>
      </w:r>
      <w:r w:rsidR="00482013">
        <w:rPr>
          <w:rFonts w:ascii="Times New Roman" w:hAnsi="Times New Roman" w:cs="Times New Roman"/>
        </w:rPr>
        <w:t>02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81E66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081E66">
        <w:rPr>
          <w:rFonts w:ascii="Times New Roman" w:hAnsi="Times New Roman" w:cs="Times New Roman"/>
        </w:rPr>
        <w:t>2</w:t>
      </w:r>
      <w:r w:rsidR="00482013">
        <w:rPr>
          <w:rFonts w:ascii="Times New Roman" w:hAnsi="Times New Roman" w:cs="Times New Roman"/>
        </w:rPr>
        <w:t>5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482013">
        <w:rPr>
          <w:rFonts w:ascii="Times New Roman" w:hAnsi="Times New Roman" w:cs="Times New Roman"/>
        </w:rPr>
        <w:t>2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31DCB"/>
    <w:rsid w:val="000469D7"/>
    <w:rsid w:val="000511C1"/>
    <w:rsid w:val="00056FF8"/>
    <w:rsid w:val="00064FD1"/>
    <w:rsid w:val="00075E16"/>
    <w:rsid w:val="00081E66"/>
    <w:rsid w:val="00083944"/>
    <w:rsid w:val="00084116"/>
    <w:rsid w:val="00093753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4C9"/>
    <w:rsid w:val="001E6560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15B6"/>
    <w:rsid w:val="002F45A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81DAC"/>
    <w:rsid w:val="00482013"/>
    <w:rsid w:val="00492F05"/>
    <w:rsid w:val="004A573B"/>
    <w:rsid w:val="004B387B"/>
    <w:rsid w:val="004B785D"/>
    <w:rsid w:val="004D6B26"/>
    <w:rsid w:val="004F1203"/>
    <w:rsid w:val="004F5E0F"/>
    <w:rsid w:val="0050001C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77C6"/>
    <w:rsid w:val="005E0E2D"/>
    <w:rsid w:val="005E13FC"/>
    <w:rsid w:val="005F2CAE"/>
    <w:rsid w:val="005F4132"/>
    <w:rsid w:val="00604A34"/>
    <w:rsid w:val="006052EC"/>
    <w:rsid w:val="006068E8"/>
    <w:rsid w:val="00625D12"/>
    <w:rsid w:val="0062666B"/>
    <w:rsid w:val="00632683"/>
    <w:rsid w:val="00655777"/>
    <w:rsid w:val="006563EB"/>
    <w:rsid w:val="0068255F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E5EB2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520"/>
    <w:rsid w:val="009C2024"/>
    <w:rsid w:val="009D79AD"/>
    <w:rsid w:val="009D7FC6"/>
    <w:rsid w:val="00A032CF"/>
    <w:rsid w:val="00A579E9"/>
    <w:rsid w:val="00A63146"/>
    <w:rsid w:val="00A65772"/>
    <w:rsid w:val="00A768F3"/>
    <w:rsid w:val="00A81D59"/>
    <w:rsid w:val="00AB474D"/>
    <w:rsid w:val="00AC3358"/>
    <w:rsid w:val="00AD0744"/>
    <w:rsid w:val="00AD20A9"/>
    <w:rsid w:val="00AD7C68"/>
    <w:rsid w:val="00AE1C7B"/>
    <w:rsid w:val="00AE37E6"/>
    <w:rsid w:val="00B27D1C"/>
    <w:rsid w:val="00B27E8A"/>
    <w:rsid w:val="00B51A4D"/>
    <w:rsid w:val="00B63607"/>
    <w:rsid w:val="00B67F9F"/>
    <w:rsid w:val="00B9147E"/>
    <w:rsid w:val="00BB11BE"/>
    <w:rsid w:val="00BC0019"/>
    <w:rsid w:val="00BD03AC"/>
    <w:rsid w:val="00BE3D5C"/>
    <w:rsid w:val="00BE5C66"/>
    <w:rsid w:val="00BE77B4"/>
    <w:rsid w:val="00C00795"/>
    <w:rsid w:val="00C3671F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28A8"/>
    <w:rsid w:val="00CF5E03"/>
    <w:rsid w:val="00CF71FE"/>
    <w:rsid w:val="00D0067B"/>
    <w:rsid w:val="00D34C43"/>
    <w:rsid w:val="00D91B6B"/>
    <w:rsid w:val="00D9285A"/>
    <w:rsid w:val="00DA2A99"/>
    <w:rsid w:val="00DE08A7"/>
    <w:rsid w:val="00DF6BC6"/>
    <w:rsid w:val="00E00291"/>
    <w:rsid w:val="00E3413F"/>
    <w:rsid w:val="00E631B5"/>
    <w:rsid w:val="00E801B8"/>
    <w:rsid w:val="00EA401E"/>
    <w:rsid w:val="00EA799B"/>
    <w:rsid w:val="00EC70A8"/>
    <w:rsid w:val="00F05336"/>
    <w:rsid w:val="00F45B09"/>
    <w:rsid w:val="00F57B8F"/>
    <w:rsid w:val="00F76A15"/>
    <w:rsid w:val="00F84A67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5%D1%80%D0%BD%D0%B0%D1%8F_%D0%BA%D0%B8%D1%81%D0%BB%D0%BE%D1%82%D0%B0" TargetMode="External"/><Relationship Id="rId13" Type="http://schemas.openxmlformats.org/officeDocument/2006/relationships/hyperlink" Target="https://ru.wikipedia.org/wiki/%D0%AD%D0%BB%D0%B5%D0%BA%D1%82%D1%80%D0%BE%D0%BB%D0%B8%D0%B7" TargetMode="External"/><Relationship Id="rId18" Type="http://schemas.openxmlformats.org/officeDocument/2006/relationships/hyperlink" Target="https://ru.wikipedia.org/wiki/%D0%A1%D0%BE%D0%BB%D0%B8" TargetMode="External"/><Relationship Id="rId26" Type="http://schemas.openxmlformats.org/officeDocument/2006/relationships/hyperlink" Target="https://ru.wikipedia.org/wiki/%D0%94%D0%B8%D1%81%D0%B0%D1%85%D0%B0%D1%80%D0%B8%D0%B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A3%D0%B3%D0%BB%D0%B5%D0%B2%D0%BE%D0%B4%D1%8B" TargetMode="External"/><Relationship Id="rId34" Type="http://schemas.openxmlformats.org/officeDocument/2006/relationships/hyperlink" Target="https://ru.wikipedia.org/wiki/%D0%9D%D0%B5%D0%BA%D1%82%D0%B0%D1%80_(%D1%81%D0%B0%D1%85%D0%B0%D1%80%D0%B8%D1%81%D1%82%D1%8B%D0%B9_%D1%81%D0%BE%D0%BA)" TargetMode="External"/><Relationship Id="rId7" Type="http://schemas.openxmlformats.org/officeDocument/2006/relationships/hyperlink" Target="https://ru.wikipedia.org/wiki/%D0%A5%D0%BB%D0%BE%D1%80%D0%B8%D0%B4_%D1%86%D0%B8%D0%BD%D0%BA%D0%B0" TargetMode="External"/><Relationship Id="rId12" Type="http://schemas.openxmlformats.org/officeDocument/2006/relationships/hyperlink" Target="https://ru.wikipedia.org/wiki/%D0%93%D0%B8%D0%B3%D1%80%D0%BE%D1%81%D0%BA%D0%BE%D0%BF%D0%B8%D1%87%D0%BD%D0%BE%D1%81%D1%82%D1%8C" TargetMode="External"/><Relationship Id="rId17" Type="http://schemas.openxmlformats.org/officeDocument/2006/relationships/hyperlink" Target="https://ru.wikipedia.org/wiki/%D0%9A%D0%B0%D0%BB%D0%B8%D0%B9" TargetMode="External"/><Relationship Id="rId25" Type="http://schemas.openxmlformats.org/officeDocument/2006/relationships/hyperlink" Target="https://ru.wikipedia.org/wiki/%D0%93%D0%B0%D0%BB%D0%B0%D0%BA%D1%82%D0%BE%D0%B7%D0%B0" TargetMode="External"/><Relationship Id="rId33" Type="http://schemas.openxmlformats.org/officeDocument/2006/relationships/hyperlink" Target="https://ru.wikipedia.org/wiki/%D0%A2%D0%BE%D0%BC%D0%B0%D1%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3%D0%B8%D0%B3%D1%80%D0%BE%D1%81%D0%BA%D0%BE%D0%BF%D0%B8%D1%87%D0%BD%D0%BE%D1%81%D1%82%D1%8C" TargetMode="External"/><Relationship Id="rId20" Type="http://schemas.openxmlformats.org/officeDocument/2006/relationships/hyperlink" Target="https://ru.wikipedia.org/wiki/%D0%93%D0%B8%D0%B3%D1%80%D0%BE%D1%81%D0%BA%D0%BE%D0%BF%D0%B8%D1%87%D0%BD%D0%BE%D1%81%D1%82%D1%8C" TargetMode="External"/><Relationship Id="rId29" Type="http://schemas.openxmlformats.org/officeDocument/2006/relationships/hyperlink" Target="https://ru.wikipedia.org/wiki/%D0%93%D0%BB%D1%8E%D0%BA%D0%BE%D0%B7%D0%B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0%D0%B5%D0%B0%D0%BA%D1%82%D0%B8%D0%B2_%D0%A8%D0%B2%D0%B5%D0%B9%D1%86%D0%B5%D1%80%D0%B0" TargetMode="External"/><Relationship Id="rId11" Type="http://schemas.openxmlformats.org/officeDocument/2006/relationships/hyperlink" Target="https://ru.wikipedia.org/wiki/%D0%9A%D1%80%D0%B8%D1%81%D1%82%D0%B0%D0%BB%D0%BB%D1%8B" TargetMode="External"/><Relationship Id="rId24" Type="http://schemas.openxmlformats.org/officeDocument/2006/relationships/hyperlink" Target="https://ru.wikipedia.org/wiki/%D0%93%D0%BB%D1%8E%D0%BA%D0%BE%D0%B7%D0%B0" TargetMode="External"/><Relationship Id="rId32" Type="http://schemas.openxmlformats.org/officeDocument/2006/relationships/hyperlink" Target="https://ru.wikipedia.org/wiki/%D0%93%D0%BB%D1%8E%D0%BA%D0%BE%D0%B7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0%D0%BB%D0%B8%D0%B9" TargetMode="External"/><Relationship Id="rId23" Type="http://schemas.openxmlformats.org/officeDocument/2006/relationships/hyperlink" Target="https://ru.wikipedia.org/wiki/%D0%9C%D0%BE%D0%BB%D0%BE%D0%BA%D0%BE" TargetMode="External"/><Relationship Id="rId28" Type="http://schemas.openxmlformats.org/officeDocument/2006/relationships/hyperlink" Target="https://ru.wikipedia.org/wiki/%D0%9C%D0%BE%D0%BD%D0%BE%D1%81%D0%B0%D1%85%D0%B0%D1%80%D0%B8%D0%B4%D1%8B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u.wikipedia.org/wiki/%D0%93%D0%B8%D0%B3%D1%80%D0%BE%D1%81%D0%BA%D0%BE%D0%BF%D0%B8%D1%87%D0%BD%D0%BE%D1%81%D1%82%D1%8C" TargetMode="External"/><Relationship Id="rId19" Type="http://schemas.openxmlformats.org/officeDocument/2006/relationships/hyperlink" Target="https://ru.wikipedia.org/wiki/%D0%9E%D1%80%D1%82%D0%BE%D1%84%D0%BE%D1%81%D1%84%D0%BE%D1%80%D0%BD%D0%B0%D1%8F_%D0%BA%D0%B8%D1%81%D0%BB%D0%BE%D1%82%D0%B0" TargetMode="External"/><Relationship Id="rId31" Type="http://schemas.openxmlformats.org/officeDocument/2006/relationships/hyperlink" Target="https://ru.wikipedia.org/wiki/%D0%94%D0%B8%D1%81%D0%B0%D1%85%D0%B0%D1%80%D0%B8%D0%B4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5%D0%BB%D1%8B%D0%B9_%D1%86%D0%B2%D0%B5%D1%82" TargetMode="External"/><Relationship Id="rId14" Type="http://schemas.openxmlformats.org/officeDocument/2006/relationships/hyperlink" Target="https://ru.wikipedia.org/wiki/%D0%9C%D1%8B%D0%BB%D0%BE" TargetMode="External"/><Relationship Id="rId22" Type="http://schemas.openxmlformats.org/officeDocument/2006/relationships/hyperlink" Target="https://ru.wikipedia.org/wiki/%D0%94%D0%B8%D1%81%D0%B0%D1%85%D0%B0%D1%80%D0%B8%D0%B4%D1%8B" TargetMode="External"/><Relationship Id="rId27" Type="http://schemas.openxmlformats.org/officeDocument/2006/relationships/hyperlink" Target="https://ru.wikipedia.org/wiki/%D0%9E%D0%BB%D0%B8%D0%B3%D0%BE%D1%81%D0%B0%D1%85%D0%B0%D1%80%D0%B8%D0%B4%D1%8B" TargetMode="External"/><Relationship Id="rId30" Type="http://schemas.openxmlformats.org/officeDocument/2006/relationships/hyperlink" Target="https://ru.wikipedia.org/wiki/%D0%A4%D1%80%D1%83%D0%BA%D1%82%D0%BE%D0%B7%D0%B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E6C6-FAA3-4B72-993E-68E97EC5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3709</TotalTime>
  <Pages>10</Pages>
  <Words>3870</Words>
  <Characters>22060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2018-03-27T09:47:00Z</dcterms:created>
  <dcterms:modified xsi:type="dcterms:W3CDTF">2019-02-18T10:36:00Z</dcterms:modified>
</cp:coreProperties>
</file>