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РК. СКО,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 с.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671FF7">
        <w:rPr>
          <w:rFonts w:ascii="Times New Roman" w:hAnsi="Times New Roman" w:cs="Times New Roman"/>
          <w:sz w:val="20"/>
          <w:szCs w:val="20"/>
        </w:rPr>
        <w:t xml:space="preserve">  </w:t>
      </w:r>
      <w:r w:rsidRPr="00A25E40">
        <w:rPr>
          <w:rFonts w:ascii="Times New Roman" w:hAnsi="Times New Roman" w:cs="Times New Roman"/>
          <w:sz w:val="20"/>
          <w:szCs w:val="20"/>
        </w:rPr>
        <w:t xml:space="preserve"> ул.</w:t>
      </w:r>
      <w:r w:rsidR="00671F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850"/>
        <w:gridCol w:w="661"/>
        <w:gridCol w:w="808"/>
        <w:gridCol w:w="992"/>
        <w:gridCol w:w="1934"/>
      </w:tblGrid>
      <w:tr w:rsidR="004E4D45" w:rsidRPr="00A25E40" w:rsidTr="00A7246E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08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A25E40" w:rsidRPr="00A25E40" w:rsidTr="00A7246E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A25E40" w:rsidRPr="00A25E40" w:rsidRDefault="00D52679" w:rsidP="003D0FC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Манипуляционный столик СМ-3</w:t>
            </w:r>
          </w:p>
        </w:tc>
        <w:tc>
          <w:tcPr>
            <w:tcW w:w="6662" w:type="dxa"/>
          </w:tcPr>
          <w:p w:rsidR="00A25E40" w:rsidRPr="00824491" w:rsidRDefault="00D52679" w:rsidP="0082449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gramStart"/>
            <w:r w:rsidRPr="002C7D6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Предназначен</w:t>
            </w:r>
            <w:proofErr w:type="gramEnd"/>
            <w:r w:rsidRPr="002C7D6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для размещения медикаментов, инструментов, приспособлений.</w:t>
            </w:r>
            <w:r w:rsidRPr="002C7D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8244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Размеры: 914*425*910 мм. Полки выполнены из нержавеющей стали. Под верхней полкой размещен ящик с замком на роликовых направляющих. Столик комплектуется кронштейном с тазиком почкообразным. Основание установлено на 4 самоориентирующиеся колеса </w:t>
            </w:r>
            <w:r w:rsidR="00824491" w:rsidRPr="008244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="0082449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</w:t>
            </w:r>
            <w:r w:rsidR="00824491" w:rsidRPr="008244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75</w:t>
            </w:r>
            <w:r w:rsidR="008244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мм), 2 колеса с тормозным устройством.</w:t>
            </w:r>
          </w:p>
        </w:tc>
        <w:tc>
          <w:tcPr>
            <w:tcW w:w="850" w:type="dxa"/>
          </w:tcPr>
          <w:p w:rsidR="00A25E40" w:rsidRPr="00D52679" w:rsidRDefault="00671FF7" w:rsidP="000D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A25E40" w:rsidRPr="00A25E40" w:rsidRDefault="00D52679" w:rsidP="000D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8" w:type="dxa"/>
          </w:tcPr>
          <w:p w:rsidR="00A25E40" w:rsidRPr="00A25E40" w:rsidRDefault="00824491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90000</w:t>
            </w:r>
          </w:p>
        </w:tc>
        <w:tc>
          <w:tcPr>
            <w:tcW w:w="992" w:type="dxa"/>
          </w:tcPr>
          <w:p w:rsidR="00A25E40" w:rsidRPr="00A25E40" w:rsidRDefault="00824491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360000</w:t>
            </w:r>
          </w:p>
        </w:tc>
        <w:tc>
          <w:tcPr>
            <w:tcW w:w="1934" w:type="dxa"/>
          </w:tcPr>
          <w:p w:rsidR="00A25E40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74564E" w:rsidRDefault="00D52679">
            <w:r>
              <w:rPr>
                <w:rFonts w:ascii="Times New Roman" w:hAnsi="Times New Roman" w:cs="Times New Roman"/>
                <w:sz w:val="20"/>
                <w:szCs w:val="20"/>
              </w:rPr>
              <w:t>Шкаф медицинский для медикаментов</w:t>
            </w:r>
          </w:p>
        </w:tc>
        <w:tc>
          <w:tcPr>
            <w:tcW w:w="6662" w:type="dxa"/>
          </w:tcPr>
          <w:p w:rsidR="0074564E" w:rsidRPr="002C7D69" w:rsidRDefault="00D52679" w:rsidP="00824491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Вместительный шкаф для хранения медицинских инструментов, медикаментов, больничных документов, карточек пациентов. Строгий дизайн, классический цвет покрытия, большая площадь полезного пространства, гигиеническое безопасное покрытие.</w:t>
            </w:r>
            <w:r w:rsidR="0082449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Сборный каркас выполнен из цельного металлического профиля</w:t>
            </w:r>
            <w:r w:rsidR="000F356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 Верхняя секци</w:t>
            </w:r>
            <w:proofErr w:type="gramStart"/>
            <w:r w:rsidR="000F356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я-</w:t>
            </w:r>
            <w:proofErr w:type="gramEnd"/>
            <w:r w:rsidR="000F356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темное стекло, под замком. 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Внешние размеры, </w:t>
            </w:r>
            <w:proofErr w:type="gramStart"/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мм</w:t>
            </w:r>
            <w:proofErr w:type="gramEnd"/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: 1</w:t>
            </w:r>
            <w:r w:rsidR="0082449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920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x</w:t>
            </w:r>
            <w:r w:rsidR="0082449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00x400</w:t>
            </w:r>
            <w:r w:rsidRPr="002C7D6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Вес</w:t>
            </w:r>
            <w:r w:rsidR="005666E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37к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</w:t>
            </w:r>
            <w:r w:rsidR="005666E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Максимальная нагрузка на полку</w:t>
            </w:r>
            <w:r w:rsidR="005666E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30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кг</w:t>
            </w:r>
            <w:r w:rsidR="005666E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. 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Количество полок</w:t>
            </w:r>
            <w:r w:rsidR="005666E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4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r w:rsidR="005666E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 w:rsidRPr="002C7D6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Тип покрытия: Гигиенически безопасное, коррозийно-устойчивое порошковое</w:t>
            </w:r>
          </w:p>
        </w:tc>
        <w:tc>
          <w:tcPr>
            <w:tcW w:w="850" w:type="dxa"/>
          </w:tcPr>
          <w:p w:rsidR="0074564E" w:rsidRPr="00A25E40" w:rsidRDefault="00335599" w:rsidP="000D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Pr="00A25E40" w:rsidRDefault="00335599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4564E" w:rsidRDefault="000F356C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93000</w:t>
            </w:r>
          </w:p>
          <w:p w:rsidR="000F356C" w:rsidRPr="00A25E40" w:rsidRDefault="000F356C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4564E" w:rsidRPr="00A25E40" w:rsidRDefault="00720FBA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186000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74564E" w:rsidRDefault="00D52679" w:rsidP="003D0FC8"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Языкодержатель</w:t>
            </w:r>
            <w:proofErr w:type="spellEnd"/>
          </w:p>
        </w:tc>
        <w:tc>
          <w:tcPr>
            <w:tcW w:w="6662" w:type="dxa"/>
          </w:tcPr>
          <w:p w:rsidR="00335599" w:rsidRPr="00335599" w:rsidRDefault="00335599" w:rsidP="0033559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C7D69">
              <w:rPr>
                <w:rFonts w:ascii="Times New Roman" w:hAnsi="Times New Roman" w:cs="Times New Roman"/>
                <w:sz w:val="18"/>
                <w:szCs w:val="18"/>
              </w:rPr>
              <w:t>Языкодержатель</w:t>
            </w:r>
            <w:proofErr w:type="spellEnd"/>
            <w:r w:rsidRPr="002C7D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3559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bdr w:val="none" w:sz="0" w:space="0" w:color="auto" w:frame="1"/>
              </w:rPr>
              <w:t>для взрослых</w:t>
            </w:r>
            <w:r w:rsidRPr="00335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36FA5" w:rsidRPr="002C7D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(170 мм) </w:t>
            </w:r>
            <w:r w:rsidRPr="00335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оттесняющий медицинский инструмент, используемый для захватывания, фиксации и вытягивания языка во время проведение медицинских процедур, хирургического вмешательства, представляет собой зажим, состоящий из двух шарнирно соединенных половин с кремальерой и губками </w:t>
            </w:r>
            <w:proofErr w:type="spellStart"/>
            <w:r w:rsidRPr="00335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окончатой</w:t>
            </w:r>
            <w:proofErr w:type="spellEnd"/>
            <w:r w:rsidRPr="003355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формы с поперечной насечкой на рабочей поверхности.</w:t>
            </w:r>
          </w:p>
          <w:p w:rsidR="0074564E" w:rsidRPr="002C7D69" w:rsidRDefault="0074564E" w:rsidP="00335599">
            <w:pPr>
              <w:spacing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</w:tcPr>
          <w:p w:rsidR="0074564E" w:rsidRPr="00A25E40" w:rsidRDefault="00335599" w:rsidP="000D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Pr="00A25E40" w:rsidRDefault="00335599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08" w:type="dxa"/>
          </w:tcPr>
          <w:p w:rsidR="0074564E" w:rsidRPr="00A25E40" w:rsidRDefault="000F356C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992" w:type="dxa"/>
          </w:tcPr>
          <w:p w:rsidR="0074564E" w:rsidRDefault="00720FBA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45000</w:t>
            </w:r>
          </w:p>
          <w:p w:rsidR="00720FBA" w:rsidRPr="00A25E40" w:rsidRDefault="00720FBA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74564E" w:rsidRDefault="00D52679" w:rsidP="003D0FC8">
            <w:r>
              <w:rPr>
                <w:rFonts w:ascii="Times New Roman" w:hAnsi="Times New Roman" w:cs="Times New Roman"/>
                <w:sz w:val="20"/>
                <w:szCs w:val="20"/>
              </w:rPr>
              <w:t>Роторасширитель</w:t>
            </w:r>
          </w:p>
        </w:tc>
        <w:tc>
          <w:tcPr>
            <w:tcW w:w="6662" w:type="dxa"/>
          </w:tcPr>
          <w:p w:rsidR="0074564E" w:rsidRPr="002C7D69" w:rsidRDefault="00536FA5" w:rsidP="00536FA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C7D69">
              <w:rPr>
                <w:rFonts w:ascii="Times New Roman" w:hAnsi="Times New Roman" w:cs="Times New Roman"/>
                <w:color w:val="01011B"/>
                <w:sz w:val="18"/>
                <w:szCs w:val="18"/>
                <w:shd w:val="clear" w:color="auto" w:fill="FFFFFF"/>
              </w:rPr>
              <w:t>Расширитель для рта с кремальерой, длиной 190 мм</w:t>
            </w:r>
          </w:p>
        </w:tc>
        <w:tc>
          <w:tcPr>
            <w:tcW w:w="850" w:type="dxa"/>
          </w:tcPr>
          <w:p w:rsidR="0074564E" w:rsidRPr="00A25E40" w:rsidRDefault="00335599" w:rsidP="000D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Pr="00A25E40" w:rsidRDefault="00335599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08" w:type="dxa"/>
          </w:tcPr>
          <w:p w:rsidR="0074564E" w:rsidRPr="00A25E40" w:rsidRDefault="000F356C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15500</w:t>
            </w:r>
          </w:p>
        </w:tc>
        <w:tc>
          <w:tcPr>
            <w:tcW w:w="992" w:type="dxa"/>
          </w:tcPr>
          <w:p w:rsidR="0074564E" w:rsidRPr="00A25E40" w:rsidRDefault="00720FBA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1759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74564E" w:rsidRPr="00A25E40" w:rsidRDefault="000F356C" w:rsidP="000F356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Направляющий в</w:t>
            </w:r>
            <w:r w:rsidR="00D526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оздуховод одноразовы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D526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№2</w:t>
            </w:r>
            <w:r w:rsidR="007456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</w:tcPr>
          <w:p w:rsidR="00536FA5" w:rsidRPr="00536FA5" w:rsidRDefault="002A29F0" w:rsidP="00536F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Воздуховод </w:t>
            </w:r>
            <w:r w:rsidR="00536FA5"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стерильный №2</w:t>
            </w:r>
            <w:r w:rsidR="00536FA5"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536FA5"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полимерный - используется с целью обеспечения проходимости дыхательных путей, как соединитель для </w:t>
            </w:r>
            <w:proofErr w:type="spellStart"/>
            <w:r w:rsidR="00536FA5"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аэрозольно</w:t>
            </w:r>
            <w:proofErr w:type="spellEnd"/>
            <w:r w:rsidR="00536FA5"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увлажняющей и кислородной терапии. Внутренний материал - твердый, </w:t>
            </w:r>
            <w:r w:rsidR="00536FA5"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наружный материал </w:t>
            </w:r>
            <w:r w:rsidR="003144B6"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  <w:r w:rsidR="00536FA5"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пластичный</w:t>
            </w:r>
            <w:r w:rsidR="003144B6"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r w:rsidR="00536FA5"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имеет </w:t>
            </w:r>
            <w:proofErr w:type="spellStart"/>
            <w:proofErr w:type="gramStart"/>
            <w:r w:rsidR="00536FA5"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физиологичес</w:t>
            </w:r>
            <w:proofErr w:type="spellEnd"/>
            <w:r w:rsidR="003144B6"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="00536FA5"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кий</w:t>
            </w:r>
            <w:proofErr w:type="gramEnd"/>
            <w:r w:rsidR="00536FA5"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изгиб овальной трубки, сплющен в переднезаднем направлении, с косым срезом на внутреннем конце, центральный канал замкнутый, края и</w:t>
            </w:r>
            <w:r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деально гладкие.</w:t>
            </w:r>
          </w:p>
          <w:p w:rsidR="0074564E" w:rsidRPr="002C7D69" w:rsidRDefault="0074564E" w:rsidP="009D31EC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</w:tcPr>
          <w:p w:rsidR="0074564E" w:rsidRPr="00A25E40" w:rsidRDefault="000F356C" w:rsidP="000D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Pr="00A25E40" w:rsidRDefault="000F356C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08" w:type="dxa"/>
          </w:tcPr>
          <w:p w:rsidR="0074564E" w:rsidRPr="00A25E40" w:rsidRDefault="000F356C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992" w:type="dxa"/>
          </w:tcPr>
          <w:p w:rsidR="0074564E" w:rsidRPr="00A25E40" w:rsidRDefault="00720FBA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2A29F0" w:rsidRPr="00A25E40" w:rsidTr="00A7246E">
        <w:trPr>
          <w:trHeight w:val="1759"/>
        </w:trPr>
        <w:tc>
          <w:tcPr>
            <w:tcW w:w="624" w:type="dxa"/>
          </w:tcPr>
          <w:p w:rsidR="002A29F0" w:rsidRPr="00A25E40" w:rsidRDefault="002A29F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745" w:type="dxa"/>
          </w:tcPr>
          <w:p w:rsidR="002A29F0" w:rsidRPr="00A25E40" w:rsidRDefault="000F356C" w:rsidP="000F356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Направляющий в</w:t>
            </w:r>
            <w:r w:rsidR="002A2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оздуховод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одноразовый</w:t>
            </w:r>
            <w:r w:rsidR="002A2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№3 </w:t>
            </w:r>
          </w:p>
        </w:tc>
        <w:tc>
          <w:tcPr>
            <w:tcW w:w="6662" w:type="dxa"/>
          </w:tcPr>
          <w:p w:rsidR="002A29F0" w:rsidRPr="00536FA5" w:rsidRDefault="002A29F0" w:rsidP="00023F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Воздуховод </w:t>
            </w:r>
            <w:r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стерильный №</w:t>
            </w:r>
            <w:r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3,</w:t>
            </w:r>
            <w:r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полимерный - используется с целью обеспечения проходимости дыхательных путей, как соединитель для </w:t>
            </w:r>
            <w:proofErr w:type="spellStart"/>
            <w:r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аэрозольно</w:t>
            </w:r>
            <w:proofErr w:type="spellEnd"/>
            <w:r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увлажняющей и кислородной терапии. Внутренний материал - твердый, </w:t>
            </w:r>
            <w:r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наружный материал – пластичный, </w:t>
            </w:r>
            <w:r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имеет </w:t>
            </w:r>
            <w:proofErr w:type="spellStart"/>
            <w:proofErr w:type="gramStart"/>
            <w:r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физиологичес</w:t>
            </w:r>
            <w:proofErr w:type="spellEnd"/>
            <w:r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кий</w:t>
            </w:r>
            <w:proofErr w:type="gramEnd"/>
            <w:r w:rsidRPr="00536F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изгиб овальной трубки, сплющен в переднезаднем направлении, с косым срезом на внутреннем конце, центральный канал замкнутый, края и</w:t>
            </w:r>
            <w:r w:rsidRPr="002C7D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деально гладкие.</w:t>
            </w:r>
          </w:p>
          <w:p w:rsidR="002A29F0" w:rsidRPr="002C7D69" w:rsidRDefault="002A29F0" w:rsidP="00023F86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</w:tcPr>
          <w:p w:rsidR="002A29F0" w:rsidRPr="00A25E40" w:rsidRDefault="000F356C" w:rsidP="000D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2A29F0" w:rsidRPr="00A25E40" w:rsidRDefault="000F356C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08" w:type="dxa"/>
          </w:tcPr>
          <w:p w:rsidR="002A29F0" w:rsidRPr="00A25E40" w:rsidRDefault="000F356C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992" w:type="dxa"/>
          </w:tcPr>
          <w:p w:rsidR="002A29F0" w:rsidRPr="00A25E40" w:rsidRDefault="00720FBA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840</w:t>
            </w:r>
          </w:p>
        </w:tc>
        <w:tc>
          <w:tcPr>
            <w:tcW w:w="1934" w:type="dxa"/>
          </w:tcPr>
          <w:p w:rsidR="002A29F0" w:rsidRDefault="00671FF7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2A29F0" w:rsidRPr="00A25E40" w:rsidTr="00A7246E">
        <w:trPr>
          <w:trHeight w:val="764"/>
        </w:trPr>
        <w:tc>
          <w:tcPr>
            <w:tcW w:w="624" w:type="dxa"/>
          </w:tcPr>
          <w:p w:rsidR="002A29F0" w:rsidRPr="00A25E40" w:rsidRDefault="002A29F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2A29F0" w:rsidRPr="00A25E40" w:rsidRDefault="00902857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Облучатель  ОБНП 2х30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настенно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-потолочный с 2 лампами</w:t>
            </w:r>
            <w:r w:rsidR="009F17E6">
              <w:rPr>
                <w:rFonts w:ascii="Times New Roman" w:hAnsi="Times New Roman" w:cs="Times New Roman"/>
                <w:sz w:val="20"/>
                <w:szCs w:val="20"/>
              </w:rPr>
              <w:t xml:space="preserve"> в комплекте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62" w:type="dxa"/>
          </w:tcPr>
          <w:p w:rsidR="00AC0684" w:rsidRPr="000E04AF" w:rsidRDefault="009F17E6" w:rsidP="000D7A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Облучатель в комплекте.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028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ламп – 2. Ультрафиолетовая бактерицидная лампа с пониженным содержанием  ртути, хранящая</w:t>
            </w:r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ся в лампе в виде таблетки, мощ</w:t>
            </w:r>
            <w:r w:rsidR="009028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ностью </w:t>
            </w:r>
            <w:r w:rsidR="00AC06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9028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Вт,</w:t>
            </w:r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потоком излучения – 12,6 Вт и минимальной облученностью на расстоянии 1м в секторе прямого луча – 1,0Вт/м</w:t>
            </w:r>
            <w:proofErr w:type="gramStart"/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Образование озона полностью отсутствует</w:t>
            </w:r>
            <w:proofErr w:type="gramStart"/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Суммарный бактерицидный поток - 25,2Вт. Производительность  по </w:t>
            </w:r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="000D7A53" w:rsidRP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Aureus</w:t>
            </w:r>
            <w:proofErr w:type="spellEnd"/>
            <w:r w:rsidR="000D7A53" w:rsidRP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 бактерицидной эффективности, исполнение: 90% - 440/558 м3/час; 95% - 342/435 м3/час; 99% - 223/284 м3/час.  Исполнение </w:t>
            </w:r>
            <w:proofErr w:type="spellStart"/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настенно</w:t>
            </w:r>
            <w:proofErr w:type="spellEnd"/>
            <w:r w:rsidR="000D7A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-потолочное.</w:t>
            </w:r>
          </w:p>
        </w:tc>
        <w:tc>
          <w:tcPr>
            <w:tcW w:w="850" w:type="dxa"/>
          </w:tcPr>
          <w:p w:rsidR="002A29F0" w:rsidRPr="00A25E40" w:rsidRDefault="000D7A53" w:rsidP="000D7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2A29F0" w:rsidRPr="00A25E40" w:rsidRDefault="000D7A53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2A29F0" w:rsidRPr="00A25E40" w:rsidRDefault="000D7A53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28000</w:t>
            </w:r>
          </w:p>
        </w:tc>
        <w:tc>
          <w:tcPr>
            <w:tcW w:w="992" w:type="dxa"/>
          </w:tcPr>
          <w:p w:rsidR="002A29F0" w:rsidRPr="00A25E40" w:rsidRDefault="000D7A53" w:rsidP="000D7A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56000</w:t>
            </w:r>
          </w:p>
        </w:tc>
        <w:tc>
          <w:tcPr>
            <w:tcW w:w="1934" w:type="dxa"/>
          </w:tcPr>
          <w:p w:rsidR="002A29F0" w:rsidRPr="00A25E40" w:rsidRDefault="002A29F0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20FBA" w:rsidRPr="00A25E40" w:rsidTr="00A7246E">
        <w:trPr>
          <w:trHeight w:val="764"/>
        </w:trPr>
        <w:tc>
          <w:tcPr>
            <w:tcW w:w="624" w:type="dxa"/>
          </w:tcPr>
          <w:p w:rsidR="00720FBA" w:rsidRDefault="00720FB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20FBA" w:rsidRDefault="00720FBA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720FBA" w:rsidRPr="000E04AF" w:rsidRDefault="00720FBA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20FBA" w:rsidRPr="00A25E40" w:rsidRDefault="00720FB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720FBA" w:rsidRPr="00A25E40" w:rsidRDefault="00720FB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8" w:type="dxa"/>
          </w:tcPr>
          <w:p w:rsidR="00720FBA" w:rsidRPr="00A25E40" w:rsidRDefault="00720FB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20FBA" w:rsidRPr="00A25E40" w:rsidRDefault="000D7A5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741680</w:t>
            </w:r>
          </w:p>
        </w:tc>
        <w:tc>
          <w:tcPr>
            <w:tcW w:w="1934" w:type="dxa"/>
          </w:tcPr>
          <w:p w:rsidR="00720FBA" w:rsidRDefault="00720FBA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D0065C">
        <w:rPr>
          <w:rFonts w:ascii="Times New Roman" w:hAnsi="Times New Roman" w:cs="Times New Roman"/>
          <w:sz w:val="20"/>
          <w:szCs w:val="20"/>
        </w:rPr>
        <w:t>15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D0065C">
        <w:rPr>
          <w:rFonts w:ascii="Times New Roman" w:hAnsi="Times New Roman" w:cs="Times New Roman"/>
          <w:sz w:val="20"/>
          <w:szCs w:val="20"/>
        </w:rPr>
        <w:t>3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671FF7">
        <w:rPr>
          <w:rFonts w:ascii="Times New Roman" w:hAnsi="Times New Roman" w:cs="Times New Roman"/>
          <w:sz w:val="20"/>
          <w:szCs w:val="20"/>
        </w:rPr>
        <w:t>07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671FF7">
        <w:rPr>
          <w:rFonts w:ascii="Times New Roman" w:hAnsi="Times New Roman" w:cs="Times New Roman"/>
          <w:sz w:val="20"/>
          <w:szCs w:val="20"/>
        </w:rPr>
        <w:t>4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671FF7">
        <w:rPr>
          <w:rFonts w:ascii="Times New Roman" w:hAnsi="Times New Roman" w:cs="Times New Roman"/>
          <w:sz w:val="20"/>
          <w:szCs w:val="20"/>
        </w:rPr>
        <w:t>1</w:t>
      </w:r>
      <w:r w:rsidR="00D0065C">
        <w:rPr>
          <w:rFonts w:ascii="Times New Roman" w:hAnsi="Times New Roman" w:cs="Times New Roman"/>
          <w:sz w:val="20"/>
          <w:szCs w:val="20"/>
        </w:rPr>
        <w:t>5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D0065C">
        <w:rPr>
          <w:rFonts w:ascii="Times New Roman" w:hAnsi="Times New Roman" w:cs="Times New Roman"/>
          <w:sz w:val="20"/>
          <w:szCs w:val="20"/>
        </w:rPr>
        <w:t>3</w:t>
      </w:r>
      <w:r w:rsidR="00B700F8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671FF7">
        <w:rPr>
          <w:rFonts w:ascii="Times New Roman" w:hAnsi="Times New Roman" w:cs="Times New Roman"/>
          <w:sz w:val="20"/>
          <w:szCs w:val="20"/>
        </w:rPr>
        <w:t>14</w:t>
      </w:r>
      <w:r w:rsidR="00AA186F" w:rsidRPr="00A25E40">
        <w:rPr>
          <w:rFonts w:ascii="Times New Roman" w:hAnsi="Times New Roman" w:cs="Times New Roman"/>
          <w:sz w:val="20"/>
          <w:szCs w:val="20"/>
        </w:rPr>
        <w:t>.0</w:t>
      </w:r>
      <w:r w:rsidR="00FA2965">
        <w:rPr>
          <w:rFonts w:ascii="Times New Roman" w:hAnsi="Times New Roman" w:cs="Times New Roman"/>
          <w:sz w:val="20"/>
          <w:szCs w:val="20"/>
        </w:rPr>
        <w:t>4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2D1E6B">
        <w:rPr>
          <w:rFonts w:ascii="Times New Roman" w:hAnsi="Times New Roman" w:cs="Times New Roman"/>
          <w:sz w:val="20"/>
          <w:szCs w:val="20"/>
        </w:rPr>
        <w:t>1</w:t>
      </w:r>
      <w:r w:rsidR="00D0065C">
        <w:rPr>
          <w:rFonts w:ascii="Times New Roman" w:hAnsi="Times New Roman" w:cs="Times New Roman"/>
          <w:sz w:val="20"/>
          <w:szCs w:val="20"/>
        </w:rPr>
        <w:t>5</w:t>
      </w:r>
      <w:r w:rsidR="00870607">
        <w:rPr>
          <w:rFonts w:ascii="Times New Roman" w:hAnsi="Times New Roman" w:cs="Times New Roman"/>
          <w:sz w:val="20"/>
          <w:szCs w:val="20"/>
        </w:rPr>
        <w:t xml:space="preserve">ч. </w:t>
      </w:r>
      <w:r w:rsidR="00D0065C">
        <w:rPr>
          <w:rFonts w:ascii="Times New Roman" w:hAnsi="Times New Roman" w:cs="Times New Roman"/>
          <w:sz w:val="20"/>
          <w:szCs w:val="20"/>
        </w:rPr>
        <w:t>3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2D1E6B">
        <w:rPr>
          <w:rFonts w:ascii="Times New Roman" w:hAnsi="Times New Roman" w:cs="Times New Roman"/>
          <w:sz w:val="20"/>
          <w:szCs w:val="20"/>
        </w:rPr>
        <w:t>14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FA2965">
        <w:rPr>
          <w:rFonts w:ascii="Times New Roman" w:hAnsi="Times New Roman" w:cs="Times New Roman"/>
          <w:sz w:val="20"/>
          <w:szCs w:val="20"/>
        </w:rPr>
        <w:t>4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D0065C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2D1E6B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2D1E6B">
        <w:rPr>
          <w:rFonts w:ascii="Times New Roman" w:hAnsi="Times New Roman" w:cs="Times New Roman"/>
          <w:sz w:val="20"/>
          <w:szCs w:val="20"/>
          <w:u w:val="single"/>
        </w:rPr>
        <w:t xml:space="preserve"> 30 календарных дней.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EF2" w:rsidRDefault="004C7EF2" w:rsidP="00483B0E">
      <w:pPr>
        <w:spacing w:after="0" w:line="240" w:lineRule="auto"/>
      </w:pPr>
      <w:r>
        <w:separator/>
      </w:r>
    </w:p>
  </w:endnote>
  <w:endnote w:type="continuationSeparator" w:id="0">
    <w:p w:rsidR="004C7EF2" w:rsidRDefault="004C7EF2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EF2" w:rsidRDefault="004C7EF2" w:rsidP="00483B0E">
      <w:pPr>
        <w:spacing w:after="0" w:line="240" w:lineRule="auto"/>
      </w:pPr>
      <w:r>
        <w:separator/>
      </w:r>
    </w:p>
  </w:footnote>
  <w:footnote w:type="continuationSeparator" w:id="0">
    <w:p w:rsidR="004C7EF2" w:rsidRDefault="004C7EF2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244731"/>
    <w:multiLevelType w:val="multilevel"/>
    <w:tmpl w:val="F08A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362E5"/>
    <w:rsid w:val="00050168"/>
    <w:rsid w:val="000633F1"/>
    <w:rsid w:val="00070BF0"/>
    <w:rsid w:val="00072D41"/>
    <w:rsid w:val="00093852"/>
    <w:rsid w:val="000A4907"/>
    <w:rsid w:val="000B0CBF"/>
    <w:rsid w:val="000C5234"/>
    <w:rsid w:val="000D7A53"/>
    <w:rsid w:val="000E04AF"/>
    <w:rsid w:val="000F356C"/>
    <w:rsid w:val="0012711E"/>
    <w:rsid w:val="001476FB"/>
    <w:rsid w:val="0016285B"/>
    <w:rsid w:val="00172BA9"/>
    <w:rsid w:val="0017495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44E64"/>
    <w:rsid w:val="00247A9B"/>
    <w:rsid w:val="00262816"/>
    <w:rsid w:val="00265D93"/>
    <w:rsid w:val="00285CCD"/>
    <w:rsid w:val="002931EE"/>
    <w:rsid w:val="002A29F0"/>
    <w:rsid w:val="002B4A35"/>
    <w:rsid w:val="002C4911"/>
    <w:rsid w:val="002C7D69"/>
    <w:rsid w:val="002D1E6B"/>
    <w:rsid w:val="00302276"/>
    <w:rsid w:val="00306A12"/>
    <w:rsid w:val="003144B6"/>
    <w:rsid w:val="00322BE4"/>
    <w:rsid w:val="00325C98"/>
    <w:rsid w:val="00331DCC"/>
    <w:rsid w:val="00335599"/>
    <w:rsid w:val="0034519B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C7EF2"/>
    <w:rsid w:val="004E4D45"/>
    <w:rsid w:val="00517F23"/>
    <w:rsid w:val="005205FE"/>
    <w:rsid w:val="00526579"/>
    <w:rsid w:val="00534DF5"/>
    <w:rsid w:val="00536FA5"/>
    <w:rsid w:val="00550B05"/>
    <w:rsid w:val="00560260"/>
    <w:rsid w:val="00561A33"/>
    <w:rsid w:val="00561EDE"/>
    <w:rsid w:val="005666E5"/>
    <w:rsid w:val="00573D83"/>
    <w:rsid w:val="00580951"/>
    <w:rsid w:val="0059569E"/>
    <w:rsid w:val="005A5419"/>
    <w:rsid w:val="005B0645"/>
    <w:rsid w:val="005B42E4"/>
    <w:rsid w:val="005D35AA"/>
    <w:rsid w:val="005E105C"/>
    <w:rsid w:val="00610B54"/>
    <w:rsid w:val="006114B7"/>
    <w:rsid w:val="00634824"/>
    <w:rsid w:val="0064392A"/>
    <w:rsid w:val="00651A94"/>
    <w:rsid w:val="00651EDA"/>
    <w:rsid w:val="00671FF7"/>
    <w:rsid w:val="00672EA2"/>
    <w:rsid w:val="006939BD"/>
    <w:rsid w:val="006D797A"/>
    <w:rsid w:val="006F1CFB"/>
    <w:rsid w:val="00706DE2"/>
    <w:rsid w:val="00710A29"/>
    <w:rsid w:val="0071417F"/>
    <w:rsid w:val="00720FBA"/>
    <w:rsid w:val="00723D63"/>
    <w:rsid w:val="007266E8"/>
    <w:rsid w:val="00727D93"/>
    <w:rsid w:val="0074564E"/>
    <w:rsid w:val="00774FB6"/>
    <w:rsid w:val="00775F08"/>
    <w:rsid w:val="0079201D"/>
    <w:rsid w:val="007F36C1"/>
    <w:rsid w:val="00804307"/>
    <w:rsid w:val="00804FB5"/>
    <w:rsid w:val="00824491"/>
    <w:rsid w:val="00854DA8"/>
    <w:rsid w:val="00854E3B"/>
    <w:rsid w:val="00867DC5"/>
    <w:rsid w:val="00870607"/>
    <w:rsid w:val="00883D47"/>
    <w:rsid w:val="008D1399"/>
    <w:rsid w:val="008E34CA"/>
    <w:rsid w:val="008E5750"/>
    <w:rsid w:val="00902857"/>
    <w:rsid w:val="00916C09"/>
    <w:rsid w:val="00921629"/>
    <w:rsid w:val="009604F3"/>
    <w:rsid w:val="009618F5"/>
    <w:rsid w:val="009650D0"/>
    <w:rsid w:val="009870B7"/>
    <w:rsid w:val="009B3F05"/>
    <w:rsid w:val="009D31EC"/>
    <w:rsid w:val="009E5A87"/>
    <w:rsid w:val="009F17E6"/>
    <w:rsid w:val="00A25E40"/>
    <w:rsid w:val="00A65152"/>
    <w:rsid w:val="00A7246E"/>
    <w:rsid w:val="00A77F0C"/>
    <w:rsid w:val="00A81E8E"/>
    <w:rsid w:val="00AA186F"/>
    <w:rsid w:val="00AA506E"/>
    <w:rsid w:val="00AA6AFD"/>
    <w:rsid w:val="00AC0684"/>
    <w:rsid w:val="00AC19A4"/>
    <w:rsid w:val="00AD0C60"/>
    <w:rsid w:val="00AE73E6"/>
    <w:rsid w:val="00B1485F"/>
    <w:rsid w:val="00B2005D"/>
    <w:rsid w:val="00B31948"/>
    <w:rsid w:val="00B31DA1"/>
    <w:rsid w:val="00B52603"/>
    <w:rsid w:val="00B54D5B"/>
    <w:rsid w:val="00B56D04"/>
    <w:rsid w:val="00B61C36"/>
    <w:rsid w:val="00B700F8"/>
    <w:rsid w:val="00BA6943"/>
    <w:rsid w:val="00BB0C55"/>
    <w:rsid w:val="00BC73CE"/>
    <w:rsid w:val="00BE2C30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72C66"/>
    <w:rsid w:val="00C77D22"/>
    <w:rsid w:val="00C77FD7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D0065C"/>
    <w:rsid w:val="00D13161"/>
    <w:rsid w:val="00D26FC5"/>
    <w:rsid w:val="00D372C3"/>
    <w:rsid w:val="00D44674"/>
    <w:rsid w:val="00D46195"/>
    <w:rsid w:val="00D52679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64E5C"/>
    <w:rsid w:val="00E7260C"/>
    <w:rsid w:val="00EA7D1D"/>
    <w:rsid w:val="00ED2ED4"/>
    <w:rsid w:val="00EF701E"/>
    <w:rsid w:val="00F31806"/>
    <w:rsid w:val="00F42EA3"/>
    <w:rsid w:val="00F81682"/>
    <w:rsid w:val="00F819F6"/>
    <w:rsid w:val="00F87ADE"/>
    <w:rsid w:val="00FA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6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5267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460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9692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323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single" w:sz="12" w:space="11" w:color="E60023"/>
                <w:right w:val="none" w:sz="0" w:space="0" w:color="auto"/>
              </w:divBdr>
            </w:div>
          </w:divsChild>
        </w:div>
      </w:divsChild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810F2-54F5-49FE-8151-871984B2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123</cp:revision>
  <cp:lastPrinted>2021-04-07T08:40:00Z</cp:lastPrinted>
  <dcterms:created xsi:type="dcterms:W3CDTF">2021-01-15T10:58:00Z</dcterms:created>
  <dcterms:modified xsi:type="dcterms:W3CDTF">2021-04-07T08:52:00Z</dcterms:modified>
</cp:coreProperties>
</file>